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ind w:left="0"/>
        <w:rPr>
          <w:rFonts w:ascii="Times New Roman"/>
          <w:sz w:val="20"/>
        </w:rPr>
      </w:pPr>
    </w:p>
    <w:p>
      <w:pPr>
        <w:pStyle w:val="4"/>
        <w:spacing w:before="1"/>
        <w:ind w:left="0"/>
        <w:rPr>
          <w:sz w:val="64"/>
        </w:rPr>
      </w:pPr>
    </w:p>
    <w:p>
      <w:pPr>
        <w:pStyle w:val="4"/>
        <w:spacing w:before="1"/>
        <w:ind w:left="0"/>
        <w:rPr>
          <w:sz w:val="64"/>
        </w:rPr>
      </w:pPr>
    </w:p>
    <w:p>
      <w:pPr>
        <w:autoSpaceDE/>
        <w:autoSpaceDN/>
        <w:spacing w:line="360" w:lineRule="auto"/>
        <w:ind w:firstLine="2160" w:firstLineChars="300"/>
        <w:rPr>
          <w:rFonts w:hint="eastAsia" w:ascii="黑体" w:hAnsi="黑体" w:eastAsia="黑体" w:cs="黑体"/>
          <w:sz w:val="72"/>
          <w:szCs w:val="72"/>
          <w:lang w:val="en-US" w:bidi="ar-SA"/>
        </w:rPr>
      </w:pPr>
      <w:r>
        <w:rPr>
          <w:rFonts w:hint="eastAsia" w:ascii="黑体" w:hAnsi="黑体" w:eastAsia="黑体" w:cs="黑体"/>
          <w:sz w:val="72"/>
          <w:szCs w:val="72"/>
          <w:lang w:val="en-US" w:bidi="ar-SA"/>
        </w:rPr>
        <w:t>社会责任报告</w:t>
      </w:r>
    </w:p>
    <w:p>
      <w:pPr>
        <w:pStyle w:val="2"/>
        <w:rPr>
          <w:rFonts w:hint="eastAsia" w:ascii="黑体" w:hAnsi="黑体" w:eastAsia="黑体" w:cs="黑体"/>
          <w:sz w:val="72"/>
          <w:szCs w:val="72"/>
          <w:lang w:val="en-US" w:bidi="ar-SA"/>
        </w:rPr>
      </w:pPr>
    </w:p>
    <w:p>
      <w:pPr>
        <w:rPr>
          <w:rFonts w:hint="eastAsia"/>
          <w:lang w:val="en-US"/>
        </w:rPr>
      </w:pPr>
    </w:p>
    <w:p>
      <w:pPr>
        <w:autoSpaceDE/>
        <w:autoSpaceDN/>
        <w:spacing w:line="360" w:lineRule="auto"/>
        <w:rPr>
          <w:rFonts w:hint="eastAsia" w:ascii="黑体" w:hAnsi="黑体" w:eastAsia="黑体" w:cs="黑体"/>
          <w:sz w:val="44"/>
          <w:szCs w:val="44"/>
          <w:lang w:val="en-US" w:eastAsia="zh-CN" w:bidi="ar-SA"/>
        </w:rPr>
      </w:pPr>
    </w:p>
    <w:p>
      <w:pPr>
        <w:spacing w:before="28"/>
        <w:ind w:right="239"/>
        <w:jc w:val="center"/>
        <w:rPr>
          <w:rFonts w:hint="eastAsia"/>
          <w:sz w:val="52"/>
        </w:rPr>
      </w:pPr>
    </w:p>
    <w:p>
      <w:pPr>
        <w:pStyle w:val="2"/>
        <w:rPr>
          <w:rFonts w:hint="eastAsia"/>
        </w:rPr>
      </w:pPr>
    </w:p>
    <w:p>
      <w:pPr>
        <w:spacing w:before="28"/>
        <w:ind w:right="239"/>
        <w:jc w:val="both"/>
        <w:rPr>
          <w:rFonts w:hint="eastAsia" w:eastAsia="宋体"/>
          <w:sz w:val="52"/>
          <w:lang w:eastAsia="zh-CN"/>
        </w:rPr>
      </w:pPr>
    </w:p>
    <w:p>
      <w:pPr>
        <w:pStyle w:val="2"/>
        <w:rPr>
          <w:rFonts w:hint="eastAsia"/>
          <w:lang w:eastAsia="zh-CN"/>
        </w:rPr>
      </w:pPr>
    </w:p>
    <w:p>
      <w:pPr>
        <w:pStyle w:val="2"/>
        <w:rPr>
          <w:rFonts w:hint="eastAsia" w:eastAsia="宋体"/>
          <w:sz w:val="52"/>
          <w:lang w:eastAsia="zh-CN"/>
        </w:rPr>
      </w:pPr>
    </w:p>
    <w:p>
      <w:pPr>
        <w:rPr>
          <w:rFonts w:hint="eastAsia" w:eastAsia="宋体"/>
          <w:sz w:val="52"/>
          <w:lang w:eastAsia="zh-CN"/>
        </w:rPr>
      </w:pPr>
    </w:p>
    <w:p>
      <w:pPr>
        <w:pStyle w:val="2"/>
        <w:rPr>
          <w:rFonts w:hint="eastAsia"/>
          <w:lang w:eastAsia="zh-CN"/>
        </w:rPr>
      </w:pPr>
    </w:p>
    <w:p>
      <w:pPr>
        <w:autoSpaceDE/>
        <w:autoSpaceDN/>
        <w:spacing w:line="360" w:lineRule="auto"/>
        <w:ind w:firstLine="1928" w:firstLineChars="400"/>
        <w:jc w:val="both"/>
        <w:rPr>
          <w:rFonts w:hint="eastAsia" w:eastAsia="宋体"/>
          <w:sz w:val="44"/>
          <w:szCs w:val="44"/>
          <w:lang w:eastAsia="zh-CN"/>
        </w:rPr>
      </w:pPr>
      <w:r>
        <w:rPr>
          <w:rFonts w:hint="eastAsia"/>
          <w:b/>
          <w:sz w:val="48"/>
          <w:szCs w:val="48"/>
          <w:lang w:eastAsia="zh-CN"/>
        </w:rPr>
        <w:t>浙江南腾电气有限公司</w:t>
      </w:r>
    </w:p>
    <w:p>
      <w:pPr>
        <w:autoSpaceDE/>
        <w:autoSpaceDN/>
        <w:spacing w:line="360" w:lineRule="auto"/>
        <w:jc w:val="center"/>
        <w:rPr>
          <w:rFonts w:hint="eastAsia" w:ascii="楷体" w:hAnsi="楷体" w:eastAsia="楷体"/>
          <w:sz w:val="48"/>
          <w:szCs w:val="44"/>
        </w:rPr>
      </w:pPr>
    </w:p>
    <w:p>
      <w:pPr>
        <w:autoSpaceDE/>
        <w:autoSpaceDN/>
        <w:spacing w:line="360" w:lineRule="auto"/>
        <w:jc w:val="center"/>
        <w:rPr>
          <w:rFonts w:ascii="楷体" w:hAnsi="楷体" w:eastAsia="楷体"/>
          <w:sz w:val="48"/>
          <w:szCs w:val="44"/>
        </w:rPr>
      </w:pPr>
      <w:r>
        <w:rPr>
          <w:rFonts w:hint="eastAsia" w:ascii="楷体" w:hAnsi="楷体" w:eastAsia="楷体"/>
          <w:sz w:val="48"/>
          <w:szCs w:val="44"/>
        </w:rPr>
        <w:t>二零二</w:t>
      </w:r>
      <w:r>
        <w:rPr>
          <w:rFonts w:hint="eastAsia" w:ascii="楷体" w:hAnsi="楷体" w:eastAsia="楷体"/>
          <w:sz w:val="48"/>
          <w:szCs w:val="44"/>
          <w:lang w:val="en-US" w:eastAsia="zh-CN"/>
        </w:rPr>
        <w:t>一</w:t>
      </w:r>
      <w:r>
        <w:rPr>
          <w:rFonts w:hint="eastAsia" w:ascii="楷体" w:hAnsi="楷体" w:eastAsia="楷体"/>
          <w:sz w:val="48"/>
          <w:szCs w:val="44"/>
        </w:rPr>
        <w:t>年</w:t>
      </w:r>
      <w:r>
        <w:rPr>
          <w:rFonts w:hint="eastAsia" w:ascii="楷体" w:hAnsi="楷体" w:eastAsia="楷体"/>
          <w:sz w:val="48"/>
          <w:szCs w:val="44"/>
          <w:lang w:val="en-US" w:eastAsia="zh-CN"/>
        </w:rPr>
        <w:t>十</w:t>
      </w:r>
      <w:r>
        <w:rPr>
          <w:rFonts w:hint="eastAsia" w:ascii="楷体" w:hAnsi="楷体" w:eastAsia="楷体"/>
          <w:sz w:val="48"/>
          <w:szCs w:val="44"/>
        </w:rPr>
        <w:t>月</w:t>
      </w:r>
    </w:p>
    <w:p>
      <w:pPr>
        <w:spacing w:before="54"/>
        <w:ind w:right="242"/>
        <w:jc w:val="center"/>
        <w:rPr>
          <w:sz w:val="32"/>
        </w:rPr>
      </w:pPr>
    </w:p>
    <w:p>
      <w:pPr>
        <w:pStyle w:val="2"/>
        <w:rPr>
          <w:sz w:val="32"/>
        </w:rPr>
      </w:pPr>
    </w:p>
    <w:p>
      <w:pPr>
        <w:rPr>
          <w:sz w:val="32"/>
        </w:rPr>
      </w:pPr>
    </w:p>
    <w:p>
      <w:pPr>
        <w:pStyle w:val="2"/>
        <w:rPr>
          <w:sz w:val="32"/>
        </w:rPr>
      </w:pPr>
    </w:p>
    <w:p>
      <w:pPr>
        <w:rPr>
          <w:sz w:val="32"/>
        </w:rPr>
      </w:pPr>
    </w:p>
    <w:p>
      <w:pPr>
        <w:pStyle w:val="2"/>
      </w:pPr>
    </w:p>
    <w:p>
      <w:pPr>
        <w:pStyle w:val="2"/>
      </w:pPr>
    </w:p>
    <w:p>
      <w:pPr>
        <w:spacing w:before="54"/>
        <w:ind w:right="242"/>
        <w:jc w:val="center"/>
        <w:rPr>
          <w:sz w:val="32"/>
        </w:rPr>
      </w:pPr>
      <w:r>
        <w:rPr>
          <w:sz w:val="32"/>
        </w:rPr>
        <w:t>报告编写说明</w:t>
      </w:r>
    </w:p>
    <w:p>
      <w:pPr>
        <w:pStyle w:val="4"/>
        <w:ind w:left="0"/>
        <w:rPr>
          <w:sz w:val="20"/>
        </w:rPr>
      </w:pPr>
    </w:p>
    <w:p>
      <w:pPr>
        <w:pStyle w:val="4"/>
        <w:spacing w:before="6"/>
        <w:ind w:left="0"/>
        <w:rPr>
          <w:sz w:val="26"/>
        </w:rPr>
      </w:pPr>
    </w:p>
    <w:p>
      <w:pPr>
        <w:pStyle w:val="14"/>
        <w:numPr>
          <w:ilvl w:val="0"/>
          <w:numId w:val="1"/>
        </w:numPr>
        <w:tabs>
          <w:tab w:val="left" w:pos="480"/>
        </w:tabs>
        <w:spacing w:before="66"/>
        <w:jc w:val="both"/>
        <w:rPr>
          <w:sz w:val="24"/>
        </w:rPr>
      </w:pPr>
      <w:r>
        <w:rPr>
          <w:sz w:val="24"/>
        </w:rPr>
        <w:t>报告简介</w:t>
      </w:r>
    </w:p>
    <w:p>
      <w:pPr>
        <w:pStyle w:val="4"/>
        <w:spacing w:before="189" w:line="360" w:lineRule="auto"/>
        <w:ind w:left="121" w:leftChars="55" w:firstLine="480" w:firstLineChars="200"/>
        <w:rPr>
          <w:highlight w:val="none"/>
        </w:rPr>
      </w:pPr>
      <w:r>
        <w:rPr>
          <w:highlight w:val="none"/>
        </w:rPr>
        <w:t>《</w:t>
      </w:r>
      <w:r>
        <w:rPr>
          <w:rFonts w:hint="eastAsia"/>
          <w:highlight w:val="none"/>
          <w:lang w:val="en-US" w:eastAsia="zh-CN"/>
        </w:rPr>
        <w:t>浙江南腾电气有限公司2020</w:t>
      </w:r>
      <w:r>
        <w:rPr>
          <w:highlight w:val="none"/>
        </w:rPr>
        <w:t>年企业社会责任报告》是</w:t>
      </w:r>
      <w:r>
        <w:rPr>
          <w:rFonts w:hint="eastAsia"/>
          <w:highlight w:val="none"/>
          <w:lang w:eastAsia="zh-CN"/>
        </w:rPr>
        <w:t>浙江南腾电气有限公司</w:t>
      </w:r>
      <w:r>
        <w:rPr>
          <w:spacing w:val="-3"/>
          <w:highlight w:val="none"/>
        </w:rPr>
        <w:t>发布的第一份企业社会责任报告。报告回顾了</w:t>
      </w:r>
      <w:r>
        <w:rPr>
          <w:rFonts w:hint="eastAsia"/>
          <w:spacing w:val="-3"/>
          <w:highlight w:val="none"/>
          <w:lang w:val="en-US" w:eastAsia="zh-CN"/>
        </w:rPr>
        <w:t>南腾2020</w:t>
      </w:r>
      <w:r>
        <w:rPr>
          <w:spacing w:val="-11"/>
          <w:highlight w:val="none"/>
        </w:rPr>
        <w:t>年所面临的机遇</w:t>
      </w:r>
      <w:r>
        <w:rPr>
          <w:highlight w:val="none"/>
        </w:rPr>
        <w:t>与挑战，披露了相关的社会责任实践和绩效。</w:t>
      </w:r>
    </w:p>
    <w:p>
      <w:pPr>
        <w:pStyle w:val="14"/>
        <w:numPr>
          <w:ilvl w:val="0"/>
          <w:numId w:val="1"/>
        </w:numPr>
        <w:tabs>
          <w:tab w:val="left" w:pos="480"/>
        </w:tabs>
        <w:spacing w:before="0" w:line="305" w:lineRule="exact"/>
        <w:rPr>
          <w:sz w:val="24"/>
        </w:rPr>
      </w:pPr>
      <w:r>
        <w:rPr>
          <w:sz w:val="24"/>
        </w:rPr>
        <w:t>时间范围</w:t>
      </w:r>
    </w:p>
    <w:p>
      <w:pPr>
        <w:pStyle w:val="4"/>
        <w:spacing w:before="187"/>
        <w:ind w:left="600"/>
      </w:pPr>
      <w:r>
        <w:t>报告中的</w:t>
      </w:r>
      <w:r>
        <w:rPr>
          <w:rFonts w:hint="eastAsia"/>
          <w:lang w:val="en-US" w:eastAsia="zh-CN"/>
        </w:rPr>
        <w:t>2020</w:t>
      </w:r>
      <w:r>
        <w:t xml:space="preserve"> 年均指</w:t>
      </w:r>
      <w:r>
        <w:rPr>
          <w:rFonts w:hint="eastAsia"/>
          <w:lang w:val="en-US" w:eastAsia="zh-CN"/>
        </w:rPr>
        <w:t>2020</w:t>
      </w:r>
      <w:r>
        <w:t xml:space="preserve"> </w:t>
      </w:r>
      <w:r>
        <w:rPr>
          <w:rFonts w:hint="eastAsia"/>
        </w:rPr>
        <w:t>全</w:t>
      </w:r>
      <w:r>
        <w:t>年。</w:t>
      </w:r>
    </w:p>
    <w:p>
      <w:pPr>
        <w:pStyle w:val="14"/>
        <w:numPr>
          <w:ilvl w:val="0"/>
          <w:numId w:val="1"/>
        </w:numPr>
        <w:tabs>
          <w:tab w:val="left" w:pos="480"/>
        </w:tabs>
        <w:spacing w:before="189"/>
        <w:jc w:val="both"/>
        <w:rPr>
          <w:sz w:val="24"/>
        </w:rPr>
      </w:pPr>
      <w:r>
        <w:rPr>
          <w:sz w:val="24"/>
        </w:rPr>
        <w:t>发布周期</w:t>
      </w:r>
    </w:p>
    <w:p>
      <w:pPr>
        <w:pStyle w:val="4"/>
        <w:spacing w:before="190"/>
        <w:ind w:left="600"/>
      </w:pPr>
      <w:r>
        <w:t>本报告为年度报告。</w:t>
      </w:r>
    </w:p>
    <w:p>
      <w:pPr>
        <w:pStyle w:val="14"/>
        <w:numPr>
          <w:ilvl w:val="0"/>
          <w:numId w:val="1"/>
        </w:numPr>
        <w:tabs>
          <w:tab w:val="left" w:pos="480"/>
        </w:tabs>
        <w:spacing w:before="187"/>
        <w:jc w:val="both"/>
        <w:rPr>
          <w:sz w:val="24"/>
        </w:rPr>
      </w:pPr>
      <w:r>
        <w:rPr>
          <w:sz w:val="24"/>
        </w:rPr>
        <w:t>报告范围</w:t>
      </w:r>
    </w:p>
    <w:p>
      <w:pPr>
        <w:pStyle w:val="4"/>
        <w:spacing w:before="189"/>
        <w:ind w:left="600"/>
        <w:rPr>
          <w:highlight w:val="none"/>
        </w:rPr>
      </w:pPr>
      <w:r>
        <w:rPr>
          <w:highlight w:val="none"/>
        </w:rPr>
        <w:t>与</w:t>
      </w:r>
      <w:r>
        <w:rPr>
          <w:rFonts w:hint="eastAsia"/>
          <w:highlight w:val="none"/>
          <w:lang w:eastAsia="zh-CN"/>
        </w:rPr>
        <w:t>浙江南腾电气有限公司</w:t>
      </w:r>
      <w:r>
        <w:rPr>
          <w:highlight w:val="none"/>
        </w:rPr>
        <w:t>的业务范围一致。</w:t>
      </w:r>
    </w:p>
    <w:p>
      <w:pPr>
        <w:pStyle w:val="14"/>
        <w:numPr>
          <w:ilvl w:val="0"/>
          <w:numId w:val="1"/>
        </w:numPr>
        <w:tabs>
          <w:tab w:val="left" w:pos="480"/>
        </w:tabs>
        <w:spacing w:before="189"/>
        <w:jc w:val="both"/>
        <w:rPr>
          <w:sz w:val="24"/>
        </w:rPr>
      </w:pPr>
      <w:r>
        <w:rPr>
          <w:sz w:val="24"/>
        </w:rPr>
        <w:t>数据来源</w:t>
      </w:r>
    </w:p>
    <w:p>
      <w:pPr>
        <w:pStyle w:val="4"/>
        <w:spacing w:before="187" w:line="388" w:lineRule="auto"/>
        <w:ind w:right="360" w:firstLine="480"/>
        <w:jc w:val="both"/>
      </w:pPr>
      <w:r>
        <w:rPr>
          <w:spacing w:val="-5"/>
          <w:highlight w:val="none"/>
        </w:rPr>
        <w:t>报告使用数据来自</w:t>
      </w:r>
      <w:r>
        <w:rPr>
          <w:rFonts w:hint="eastAsia"/>
          <w:spacing w:val="-5"/>
          <w:highlight w:val="none"/>
          <w:lang w:val="en-US" w:eastAsia="zh-CN"/>
        </w:rPr>
        <w:t>南腾2020</w:t>
      </w:r>
      <w:r>
        <w:rPr>
          <w:spacing w:val="-8"/>
          <w:highlight w:val="none"/>
        </w:rPr>
        <w:t xml:space="preserve"> 年报，以及公司正式文件和统计报告。</w:t>
      </w:r>
      <w:r>
        <w:rPr>
          <w:spacing w:val="-14"/>
          <w:highlight w:val="none"/>
        </w:rPr>
        <w:t>部门数据</w:t>
      </w:r>
      <w:r>
        <w:rPr>
          <w:spacing w:val="-14"/>
        </w:rPr>
        <w:t>由于数据统计和口径的原因，有不完善的地方。我们将在日后不断完善</w:t>
      </w:r>
      <w:r>
        <w:t>数据指标统计系统，以保证将来提供更加全面的信息。</w:t>
      </w:r>
    </w:p>
    <w:p>
      <w:pPr>
        <w:pStyle w:val="14"/>
        <w:numPr>
          <w:ilvl w:val="0"/>
          <w:numId w:val="1"/>
        </w:numPr>
        <w:tabs>
          <w:tab w:val="left" w:pos="480"/>
        </w:tabs>
        <w:spacing w:before="0" w:line="301" w:lineRule="exact"/>
        <w:jc w:val="both"/>
        <w:rPr>
          <w:sz w:val="24"/>
        </w:rPr>
      </w:pPr>
      <w:r>
        <w:rPr>
          <w:sz w:val="24"/>
        </w:rPr>
        <w:t>指代说明</w:t>
      </w:r>
    </w:p>
    <w:p>
      <w:pPr>
        <w:pStyle w:val="4"/>
        <w:spacing w:before="189" w:line="388" w:lineRule="auto"/>
        <w:ind w:right="358" w:firstLine="480"/>
      </w:pPr>
      <w:r>
        <w:rPr>
          <w:spacing w:val="-26"/>
        </w:rPr>
        <w:t>为便于表述，报告中“公司”、“我们”、 “</w:t>
      </w:r>
      <w:r>
        <w:rPr>
          <w:rFonts w:hint="eastAsia"/>
          <w:spacing w:val="-26"/>
          <w:lang w:val="en-US" w:eastAsia="zh-CN"/>
        </w:rPr>
        <w:t>南腾</w:t>
      </w:r>
      <w:r>
        <w:rPr>
          <w:spacing w:val="-26"/>
        </w:rPr>
        <w:t>”均指代</w:t>
      </w:r>
      <w:r>
        <w:rPr>
          <w:spacing w:val="-11"/>
        </w:rPr>
        <w:t>“</w:t>
      </w:r>
      <w:r>
        <w:rPr>
          <w:rFonts w:hint="eastAsia"/>
          <w:spacing w:val="-11"/>
          <w:lang w:eastAsia="zh-CN"/>
        </w:rPr>
        <w:t>浙江南腾电气有限公司</w:t>
      </w:r>
      <w:r>
        <w:rPr>
          <w:spacing w:val="-11"/>
        </w:rPr>
        <w:t>”。</w:t>
      </w:r>
    </w:p>
    <w:p>
      <w:pPr>
        <w:spacing w:line="388" w:lineRule="auto"/>
        <w:sectPr>
          <w:headerReference r:id="rId3" w:type="default"/>
          <w:footerReference r:id="rId4" w:type="default"/>
          <w:pgSz w:w="11910" w:h="16840"/>
          <w:pgMar w:top="1420" w:right="1440" w:bottom="1380" w:left="1680" w:header="877" w:footer="1197" w:gutter="0"/>
          <w:pgBorders>
            <w:top w:val="none" w:sz="0" w:space="0"/>
            <w:left w:val="none" w:sz="0" w:space="0"/>
            <w:bottom w:val="none" w:sz="0" w:space="0"/>
            <w:right w:val="none" w:sz="0" w:space="0"/>
          </w:pgBorders>
          <w:cols w:space="720" w:num="1"/>
        </w:sectPr>
      </w:pPr>
    </w:p>
    <w:p>
      <w:pPr>
        <w:pStyle w:val="4"/>
        <w:spacing w:before="1"/>
        <w:ind w:left="0"/>
        <w:rPr>
          <w:sz w:val="19"/>
        </w:rPr>
      </w:pPr>
    </w:p>
    <w:p>
      <w:pPr>
        <w:pStyle w:val="2"/>
        <w:tabs>
          <w:tab w:val="left" w:pos="724"/>
        </w:tabs>
      </w:pPr>
    </w:p>
    <w:sdt>
      <w:sdtPr>
        <w:rPr>
          <w:rFonts w:ascii="宋体" w:hAnsi="宋体" w:eastAsia="宋体" w:cs="宋体"/>
          <w:color w:val="auto"/>
          <w:sz w:val="22"/>
          <w:szCs w:val="22"/>
          <w:lang w:val="zh-CN" w:bidi="zh-CN"/>
        </w:rPr>
        <w:id w:val="1619027494"/>
        <w:docPartObj>
          <w:docPartGallery w:val="Table of Contents"/>
          <w:docPartUnique/>
        </w:docPartObj>
      </w:sdtPr>
      <w:sdtEndPr>
        <w:rPr>
          <w:rFonts w:ascii="宋体" w:hAnsi="宋体" w:eastAsia="宋体" w:cs="宋体"/>
          <w:b/>
          <w:bCs/>
          <w:color w:val="auto"/>
          <w:sz w:val="22"/>
          <w:szCs w:val="22"/>
          <w:lang w:val="zh-CN" w:bidi="zh-CN"/>
        </w:rPr>
      </w:sdtEndPr>
      <w:sdtContent>
        <w:p>
          <w:pPr>
            <w:pStyle w:val="19"/>
            <w:jc w:val="center"/>
          </w:pPr>
          <w:r>
            <w:rPr>
              <w:lang w:val="zh-CN"/>
            </w:rPr>
            <w:t>目录</w:t>
          </w:r>
        </w:p>
        <w:p>
          <w:pPr>
            <w:pStyle w:val="9"/>
            <w:tabs>
              <w:tab w:val="right" w:leader="dot" w:pos="8780"/>
            </w:tabs>
            <w:rPr>
              <w:rFonts w:asciiTheme="minorHAnsi" w:hAnsiTheme="minorHAnsi" w:eastAsiaTheme="minorEastAsia" w:cstheme="minorBidi"/>
              <w:kern w:val="2"/>
              <w:sz w:val="21"/>
              <w:szCs w:val="22"/>
              <w:lang w:val="en-US" w:bidi="ar-SA"/>
            </w:rPr>
          </w:pPr>
          <w:r>
            <w:fldChar w:fldCharType="begin"/>
          </w:r>
          <w:r>
            <w:instrText xml:space="preserve"> TOC \o "1-3" \h \z \u </w:instrText>
          </w:r>
          <w:r>
            <w:fldChar w:fldCharType="separate"/>
          </w:r>
          <w:r>
            <w:fldChar w:fldCharType="begin"/>
          </w:r>
          <w:r>
            <w:instrText xml:space="preserve"> HYPERLINK \l "_Toc24531704" </w:instrText>
          </w:r>
          <w:r>
            <w:fldChar w:fldCharType="separate"/>
          </w:r>
          <w:r>
            <w:rPr>
              <w:rStyle w:val="12"/>
            </w:rPr>
            <w:t>公司概况</w:t>
          </w:r>
          <w:r>
            <w:tab/>
          </w:r>
          <w:r>
            <w:fldChar w:fldCharType="begin"/>
          </w:r>
          <w:r>
            <w:instrText xml:space="preserve"> PAGEREF _Toc24531704 \h </w:instrText>
          </w:r>
          <w:r>
            <w:fldChar w:fldCharType="separate"/>
          </w:r>
          <w:r>
            <w:t>1</w:t>
          </w:r>
          <w:r>
            <w:fldChar w:fldCharType="end"/>
          </w:r>
          <w:r>
            <w:fldChar w:fldCharType="end"/>
          </w:r>
        </w:p>
        <w:p>
          <w:pPr>
            <w:pStyle w:val="9"/>
            <w:tabs>
              <w:tab w:val="right" w:leader="dot" w:pos="8780"/>
            </w:tabs>
            <w:rPr>
              <w:rFonts w:asciiTheme="minorHAnsi" w:hAnsiTheme="minorHAnsi" w:eastAsiaTheme="minorEastAsia" w:cstheme="minorBidi"/>
              <w:kern w:val="2"/>
              <w:sz w:val="21"/>
              <w:szCs w:val="22"/>
              <w:lang w:val="en-US" w:bidi="ar-SA"/>
            </w:rPr>
          </w:pPr>
          <w:r>
            <w:fldChar w:fldCharType="begin"/>
          </w:r>
          <w:r>
            <w:instrText xml:space="preserve"> HYPERLINK \l "_Toc24531705" </w:instrText>
          </w:r>
          <w:r>
            <w:fldChar w:fldCharType="separate"/>
          </w:r>
          <w:r>
            <w:rPr>
              <w:rStyle w:val="12"/>
            </w:rPr>
            <w:t>一、责任聚焦</w:t>
          </w:r>
          <w:r>
            <w:tab/>
          </w:r>
          <w:r>
            <w:fldChar w:fldCharType="begin"/>
          </w:r>
          <w:r>
            <w:instrText xml:space="preserve"> PAGEREF _Toc24531705 \h </w:instrText>
          </w:r>
          <w:r>
            <w:fldChar w:fldCharType="separate"/>
          </w:r>
          <w:r>
            <w:t>1</w:t>
          </w:r>
          <w:r>
            <w:fldChar w:fldCharType="end"/>
          </w:r>
          <w:r>
            <w:fldChar w:fldCharType="end"/>
          </w:r>
        </w:p>
        <w:p>
          <w:pPr>
            <w:pStyle w:val="9"/>
            <w:tabs>
              <w:tab w:val="right" w:leader="dot" w:pos="8780"/>
            </w:tabs>
            <w:rPr>
              <w:rFonts w:asciiTheme="minorHAnsi" w:hAnsiTheme="minorHAnsi" w:eastAsiaTheme="minorEastAsia" w:cstheme="minorBidi"/>
              <w:kern w:val="2"/>
              <w:sz w:val="21"/>
              <w:szCs w:val="22"/>
              <w:lang w:val="en-US" w:bidi="ar-SA"/>
            </w:rPr>
          </w:pPr>
          <w:r>
            <w:fldChar w:fldCharType="begin"/>
          </w:r>
          <w:r>
            <w:instrText xml:space="preserve"> HYPERLINK \l "_Toc24531706" </w:instrText>
          </w:r>
          <w:r>
            <w:fldChar w:fldCharType="separate"/>
          </w:r>
          <w:r>
            <w:rPr>
              <w:rStyle w:val="12"/>
            </w:rPr>
            <w:t>二、战略与管理</w:t>
          </w:r>
          <w:r>
            <w:tab/>
          </w:r>
          <w:r>
            <w:fldChar w:fldCharType="begin"/>
          </w:r>
          <w:r>
            <w:instrText xml:space="preserve"> PAGEREF _Toc24531706 \h </w:instrText>
          </w:r>
          <w:r>
            <w:fldChar w:fldCharType="separate"/>
          </w:r>
          <w:r>
            <w:t>4</w:t>
          </w:r>
          <w:r>
            <w:fldChar w:fldCharType="end"/>
          </w:r>
          <w:r>
            <w:fldChar w:fldCharType="end"/>
          </w:r>
        </w:p>
        <w:p>
          <w:pPr>
            <w:pStyle w:val="9"/>
            <w:tabs>
              <w:tab w:val="right" w:leader="dot" w:pos="8780"/>
            </w:tabs>
            <w:rPr>
              <w:rFonts w:asciiTheme="minorHAnsi" w:hAnsiTheme="minorHAnsi" w:eastAsiaTheme="minorEastAsia" w:cstheme="minorBidi"/>
              <w:kern w:val="2"/>
              <w:sz w:val="21"/>
              <w:szCs w:val="22"/>
              <w:lang w:val="en-US" w:bidi="ar-SA"/>
            </w:rPr>
          </w:pPr>
          <w:r>
            <w:fldChar w:fldCharType="begin"/>
          </w:r>
          <w:r>
            <w:instrText xml:space="preserve"> HYPERLINK \l "_Toc24531707" </w:instrText>
          </w:r>
          <w:r>
            <w:fldChar w:fldCharType="separate"/>
          </w:r>
          <w:r>
            <w:rPr>
              <w:rStyle w:val="12"/>
            </w:rPr>
            <w:t>三、守法合规</w:t>
          </w:r>
          <w:r>
            <w:tab/>
          </w:r>
          <w:r>
            <w:rPr>
              <w:rFonts w:hint="eastAsia"/>
            </w:rPr>
            <w:t>19</w:t>
          </w:r>
          <w:r>
            <w:rPr>
              <w:rFonts w:hint="eastAsia"/>
            </w:rPr>
            <w:fldChar w:fldCharType="end"/>
          </w:r>
        </w:p>
        <w:p>
          <w:pPr>
            <w:pStyle w:val="9"/>
            <w:tabs>
              <w:tab w:val="right" w:leader="dot" w:pos="8780"/>
            </w:tabs>
            <w:rPr>
              <w:rFonts w:asciiTheme="minorHAnsi" w:hAnsiTheme="minorHAnsi" w:eastAsiaTheme="minorEastAsia" w:cstheme="minorBidi"/>
              <w:kern w:val="2"/>
              <w:sz w:val="21"/>
              <w:szCs w:val="22"/>
              <w:lang w:val="en-US" w:bidi="ar-SA"/>
            </w:rPr>
          </w:pPr>
          <w:r>
            <w:fldChar w:fldCharType="begin"/>
          </w:r>
          <w:r>
            <w:instrText xml:space="preserve"> HYPERLINK \l "_Toc24531708" </w:instrText>
          </w:r>
          <w:r>
            <w:fldChar w:fldCharType="separate"/>
          </w:r>
          <w:r>
            <w:rPr>
              <w:rStyle w:val="12"/>
            </w:rPr>
            <w:t>四、回报股东</w:t>
          </w:r>
          <w:r>
            <w:tab/>
          </w:r>
          <w:r>
            <w:rPr>
              <w:rFonts w:hint="eastAsia"/>
            </w:rPr>
            <w:t>19</w:t>
          </w:r>
          <w:r>
            <w:rPr>
              <w:rFonts w:hint="eastAsia"/>
            </w:rPr>
            <w:fldChar w:fldCharType="end"/>
          </w:r>
        </w:p>
        <w:p>
          <w:pPr>
            <w:pStyle w:val="9"/>
            <w:tabs>
              <w:tab w:val="right" w:leader="dot" w:pos="8780"/>
            </w:tabs>
            <w:rPr>
              <w:rFonts w:asciiTheme="minorHAnsi" w:hAnsiTheme="minorHAnsi" w:eastAsiaTheme="minorEastAsia" w:cstheme="minorBidi"/>
              <w:kern w:val="2"/>
              <w:sz w:val="21"/>
              <w:szCs w:val="22"/>
              <w:lang w:val="en-US" w:bidi="ar-SA"/>
            </w:rPr>
          </w:pPr>
          <w:r>
            <w:fldChar w:fldCharType="begin"/>
          </w:r>
          <w:r>
            <w:instrText xml:space="preserve"> HYPERLINK \l "_Toc24531709" </w:instrText>
          </w:r>
          <w:r>
            <w:fldChar w:fldCharType="separate"/>
          </w:r>
          <w:r>
            <w:rPr>
              <w:rStyle w:val="12"/>
            </w:rPr>
            <w:t>五、服务客户</w:t>
          </w:r>
          <w:r>
            <w:tab/>
          </w:r>
          <w:r>
            <w:fldChar w:fldCharType="begin"/>
          </w:r>
          <w:r>
            <w:instrText xml:space="preserve"> PAGEREF _Toc24531709 \h </w:instrText>
          </w:r>
          <w:r>
            <w:fldChar w:fldCharType="separate"/>
          </w:r>
          <w:r>
            <w:t>14</w:t>
          </w:r>
          <w:r>
            <w:fldChar w:fldCharType="end"/>
          </w:r>
          <w:r>
            <w:fldChar w:fldCharType="end"/>
          </w:r>
        </w:p>
        <w:p>
          <w:pPr>
            <w:pStyle w:val="9"/>
            <w:tabs>
              <w:tab w:val="right" w:leader="dot" w:pos="8780"/>
            </w:tabs>
            <w:rPr>
              <w:rFonts w:asciiTheme="minorHAnsi" w:hAnsiTheme="minorHAnsi" w:eastAsiaTheme="minorEastAsia" w:cstheme="minorBidi"/>
              <w:kern w:val="2"/>
              <w:sz w:val="21"/>
              <w:szCs w:val="22"/>
              <w:lang w:val="en-US" w:bidi="ar-SA"/>
            </w:rPr>
          </w:pPr>
          <w:r>
            <w:fldChar w:fldCharType="begin"/>
          </w:r>
          <w:r>
            <w:instrText xml:space="preserve"> HYPERLINK \l "_Toc24531711" </w:instrText>
          </w:r>
          <w:r>
            <w:fldChar w:fldCharType="separate"/>
          </w:r>
          <w:r>
            <w:rPr>
              <w:rFonts w:hint="eastAsia"/>
              <w:lang w:val="en-US" w:eastAsia="zh-CN"/>
            </w:rPr>
            <w:t>六</w:t>
          </w:r>
          <w:r>
            <w:rPr>
              <w:rStyle w:val="12"/>
            </w:rPr>
            <w:t>、奉献社会</w:t>
          </w:r>
          <w:r>
            <w:tab/>
          </w:r>
          <w:r>
            <w:fldChar w:fldCharType="begin"/>
          </w:r>
          <w:r>
            <w:instrText xml:space="preserve"> PAGEREF _Toc24531711 \h </w:instrText>
          </w:r>
          <w:r>
            <w:fldChar w:fldCharType="separate"/>
          </w:r>
          <w:r>
            <w:t>17</w:t>
          </w:r>
          <w:r>
            <w:fldChar w:fldCharType="end"/>
          </w:r>
          <w:r>
            <w:fldChar w:fldCharType="end"/>
          </w:r>
        </w:p>
        <w:p>
          <w:pPr>
            <w:pStyle w:val="9"/>
            <w:tabs>
              <w:tab w:val="right" w:leader="dot" w:pos="8780"/>
            </w:tabs>
            <w:rPr>
              <w:rFonts w:asciiTheme="minorHAnsi" w:hAnsiTheme="minorHAnsi" w:eastAsiaTheme="minorEastAsia" w:cstheme="minorBidi"/>
              <w:kern w:val="2"/>
              <w:sz w:val="21"/>
              <w:szCs w:val="22"/>
              <w:lang w:val="en-US" w:bidi="ar-SA"/>
            </w:rPr>
          </w:pPr>
          <w:r>
            <w:fldChar w:fldCharType="begin"/>
          </w:r>
          <w:r>
            <w:instrText xml:space="preserve"> HYPERLINK \l "_Toc24531712" </w:instrText>
          </w:r>
          <w:r>
            <w:fldChar w:fldCharType="separate"/>
          </w:r>
          <w:r>
            <w:rPr>
              <w:rFonts w:hint="eastAsia"/>
              <w:lang w:val="en-US" w:eastAsia="zh-CN"/>
            </w:rPr>
            <w:t>七</w:t>
          </w:r>
          <w:r>
            <w:rPr>
              <w:rStyle w:val="12"/>
              <w:spacing w:val="-1"/>
            </w:rPr>
            <w:t>、合作伙伴</w:t>
          </w:r>
          <w:r>
            <w:tab/>
          </w:r>
          <w:r>
            <w:fldChar w:fldCharType="begin"/>
          </w:r>
          <w:r>
            <w:instrText xml:space="preserve"> PAGEREF _Toc24531712 \h </w:instrText>
          </w:r>
          <w:r>
            <w:fldChar w:fldCharType="separate"/>
          </w:r>
          <w:r>
            <w:t>17</w:t>
          </w:r>
          <w:r>
            <w:fldChar w:fldCharType="end"/>
          </w:r>
          <w:r>
            <w:fldChar w:fldCharType="end"/>
          </w:r>
        </w:p>
        <w:p>
          <w:pPr>
            <w:pStyle w:val="9"/>
            <w:tabs>
              <w:tab w:val="right" w:leader="dot" w:pos="8780"/>
            </w:tabs>
            <w:rPr>
              <w:rFonts w:asciiTheme="minorHAnsi" w:hAnsiTheme="minorHAnsi" w:eastAsiaTheme="minorEastAsia" w:cstheme="minorBidi"/>
              <w:kern w:val="2"/>
              <w:sz w:val="21"/>
              <w:szCs w:val="22"/>
              <w:lang w:val="en-US" w:bidi="ar-SA"/>
            </w:rPr>
          </w:pPr>
          <w:r>
            <w:fldChar w:fldCharType="begin"/>
          </w:r>
          <w:r>
            <w:instrText xml:space="preserve"> HYPERLINK \l "_Toc24531713" </w:instrText>
          </w:r>
          <w:r>
            <w:fldChar w:fldCharType="separate"/>
          </w:r>
          <w:r>
            <w:rPr>
              <w:rFonts w:hint="eastAsia"/>
              <w:lang w:val="en-US" w:eastAsia="zh-CN"/>
            </w:rPr>
            <w:t>八</w:t>
          </w:r>
          <w:r>
            <w:rPr>
              <w:rStyle w:val="12"/>
            </w:rPr>
            <w:t>、存在问题及改进</w:t>
          </w:r>
          <w:r>
            <w:tab/>
          </w:r>
          <w:r>
            <w:fldChar w:fldCharType="begin"/>
          </w:r>
          <w:r>
            <w:instrText xml:space="preserve"> PAGEREF _Toc24531713 \h </w:instrText>
          </w:r>
          <w:r>
            <w:fldChar w:fldCharType="separate"/>
          </w:r>
          <w:r>
            <w:t>17</w:t>
          </w:r>
          <w:r>
            <w:fldChar w:fldCharType="end"/>
          </w:r>
          <w:r>
            <w:fldChar w:fldCharType="end"/>
          </w:r>
        </w:p>
        <w:p>
          <w:r>
            <w:rPr>
              <w:b/>
              <w:bCs/>
            </w:rPr>
            <w:fldChar w:fldCharType="end"/>
          </w:r>
        </w:p>
      </w:sdtContent>
    </w:sdt>
    <w:p>
      <w:pPr>
        <w:pStyle w:val="3"/>
        <w:spacing w:before="143"/>
        <w:ind w:left="0" w:right="235"/>
        <w:jc w:val="center"/>
      </w:pPr>
    </w:p>
    <w:p>
      <w:pPr>
        <w:pStyle w:val="3"/>
        <w:spacing w:before="143"/>
        <w:ind w:left="0" w:right="235"/>
        <w:jc w:val="center"/>
      </w:pPr>
    </w:p>
    <w:p>
      <w:pPr>
        <w:pStyle w:val="3"/>
        <w:spacing w:before="143"/>
        <w:ind w:left="0" w:right="235"/>
        <w:jc w:val="center"/>
      </w:pPr>
    </w:p>
    <w:p>
      <w:pPr>
        <w:pStyle w:val="3"/>
        <w:spacing w:before="143"/>
        <w:ind w:left="0" w:right="235"/>
        <w:jc w:val="center"/>
      </w:pPr>
    </w:p>
    <w:p>
      <w:pPr>
        <w:pStyle w:val="3"/>
        <w:spacing w:before="143"/>
        <w:ind w:left="0" w:right="235"/>
        <w:jc w:val="center"/>
      </w:pPr>
    </w:p>
    <w:p>
      <w:pPr>
        <w:pStyle w:val="3"/>
        <w:spacing w:before="143"/>
        <w:ind w:left="0" w:right="235"/>
        <w:jc w:val="center"/>
      </w:pPr>
    </w:p>
    <w:p>
      <w:pPr>
        <w:pStyle w:val="3"/>
        <w:spacing w:before="143"/>
        <w:ind w:left="0" w:right="235"/>
        <w:jc w:val="center"/>
      </w:pPr>
    </w:p>
    <w:p>
      <w:pPr>
        <w:pStyle w:val="3"/>
        <w:spacing w:before="143"/>
        <w:ind w:left="0" w:right="235"/>
        <w:jc w:val="center"/>
      </w:pPr>
    </w:p>
    <w:p>
      <w:pPr>
        <w:pStyle w:val="3"/>
        <w:spacing w:before="143"/>
        <w:ind w:left="0" w:right="235"/>
        <w:jc w:val="center"/>
      </w:pPr>
    </w:p>
    <w:p>
      <w:pPr>
        <w:pStyle w:val="3"/>
        <w:spacing w:before="143"/>
        <w:ind w:left="0" w:right="235"/>
        <w:jc w:val="center"/>
      </w:pPr>
    </w:p>
    <w:p/>
    <w:p/>
    <w:p/>
    <w:p>
      <w:pPr>
        <w:pStyle w:val="3"/>
        <w:spacing w:before="143"/>
        <w:ind w:left="0" w:right="235"/>
        <w:jc w:val="both"/>
        <w:sectPr>
          <w:headerReference r:id="rId5" w:type="default"/>
          <w:footerReference r:id="rId6" w:type="default"/>
          <w:pgSz w:w="11910" w:h="16840"/>
          <w:pgMar w:top="1420" w:right="1440" w:bottom="1380" w:left="1680" w:header="877" w:footer="1197" w:gutter="0"/>
          <w:pgBorders>
            <w:top w:val="none" w:sz="0" w:space="0"/>
            <w:left w:val="none" w:sz="0" w:space="0"/>
            <w:bottom w:val="none" w:sz="0" w:space="0"/>
            <w:right w:val="none" w:sz="0" w:space="0"/>
          </w:pgBorders>
          <w:cols w:space="720" w:num="1"/>
        </w:sectPr>
      </w:pPr>
    </w:p>
    <w:p/>
    <w:p>
      <w:pPr>
        <w:pStyle w:val="3"/>
        <w:spacing w:before="143"/>
        <w:ind w:left="0" w:right="235"/>
        <w:jc w:val="center"/>
        <w:rPr>
          <w:b/>
          <w:bCs/>
          <w:sz w:val="36"/>
          <w:szCs w:val="36"/>
        </w:rPr>
      </w:pPr>
      <w:bookmarkStart w:id="0" w:name="_Toc24531704"/>
      <w:r>
        <w:rPr>
          <w:b/>
          <w:bCs/>
          <w:sz w:val="36"/>
          <w:szCs w:val="36"/>
        </w:rPr>
        <w:t>公司概况</w:t>
      </w:r>
      <w:bookmarkEnd w:id="0"/>
    </w:p>
    <w:p>
      <w:pPr>
        <w:pStyle w:val="4"/>
        <w:keepNext w:val="0"/>
        <w:keepLines w:val="0"/>
        <w:pageBreakBefore w:val="0"/>
        <w:widowControl w:val="0"/>
        <w:kinsoku/>
        <w:wordWrap/>
        <w:overflowPunct/>
        <w:topLinePunct w:val="0"/>
        <w:autoSpaceDE w:val="0"/>
        <w:autoSpaceDN w:val="0"/>
        <w:bidi w:val="0"/>
        <w:adjustRightInd/>
        <w:snapToGrid/>
        <w:spacing w:line="360" w:lineRule="auto"/>
        <w:ind w:left="0" w:right="0" w:firstLine="476" w:firstLineChars="200"/>
        <w:textAlignment w:val="auto"/>
        <w:rPr>
          <w:spacing w:val="-1"/>
        </w:rPr>
      </w:pPr>
    </w:p>
    <w:p>
      <w:pPr>
        <w:pStyle w:val="4"/>
        <w:keepNext w:val="0"/>
        <w:keepLines w:val="0"/>
        <w:pageBreakBefore w:val="0"/>
        <w:widowControl w:val="0"/>
        <w:kinsoku/>
        <w:wordWrap/>
        <w:overflowPunct/>
        <w:topLinePunct w:val="0"/>
        <w:autoSpaceDE w:val="0"/>
        <w:autoSpaceDN w:val="0"/>
        <w:bidi w:val="0"/>
        <w:adjustRightInd/>
        <w:snapToGrid/>
        <w:spacing w:line="480" w:lineRule="auto"/>
        <w:ind w:left="0" w:right="0" w:firstLine="476" w:firstLineChars="200"/>
        <w:textAlignment w:val="auto"/>
        <w:rPr>
          <w:rFonts w:hint="eastAsia"/>
          <w:spacing w:val="-1"/>
          <w:lang w:val="en-US" w:eastAsia="zh-CN"/>
        </w:rPr>
      </w:pPr>
      <w:bookmarkStart w:id="1" w:name="一、责任聚焦"/>
      <w:bookmarkEnd w:id="1"/>
      <w:bookmarkStart w:id="2" w:name="_Toc24531705"/>
      <w:r>
        <w:rPr>
          <w:rFonts w:hint="eastAsia"/>
          <w:spacing w:val="-1"/>
          <w:lang w:val="en-US" w:eastAsia="zh-CN"/>
        </w:rPr>
        <w:t>浙江南腾电气有限公司成立</w:t>
      </w:r>
      <w:bookmarkStart w:id="20" w:name="_GoBack"/>
      <w:bookmarkEnd w:id="20"/>
      <w:r>
        <w:rPr>
          <w:rFonts w:hint="eastAsia"/>
          <w:spacing w:val="-1"/>
          <w:lang w:val="en-US" w:eastAsia="zh-CN"/>
        </w:rPr>
        <w:t>日期2010年8月26日，公司主要经营CCC范围内低压电气成套设备组装销售；高压电气成套设备组装销售。</w:t>
      </w:r>
    </w:p>
    <w:p>
      <w:pPr>
        <w:pStyle w:val="4"/>
        <w:keepNext w:val="0"/>
        <w:keepLines w:val="0"/>
        <w:pageBreakBefore w:val="0"/>
        <w:widowControl w:val="0"/>
        <w:kinsoku/>
        <w:wordWrap/>
        <w:overflowPunct/>
        <w:topLinePunct w:val="0"/>
        <w:autoSpaceDE w:val="0"/>
        <w:autoSpaceDN w:val="0"/>
        <w:bidi w:val="0"/>
        <w:adjustRightInd/>
        <w:snapToGrid/>
        <w:spacing w:line="480" w:lineRule="auto"/>
        <w:ind w:left="0" w:right="0" w:firstLine="476" w:firstLineChars="200"/>
        <w:textAlignment w:val="auto"/>
        <w:rPr>
          <w:rFonts w:hint="eastAsia"/>
          <w:spacing w:val="-1"/>
          <w:lang w:val="en-US" w:eastAsia="zh-CN"/>
        </w:rPr>
      </w:pPr>
      <w:r>
        <w:rPr>
          <w:rFonts w:hint="eastAsia"/>
          <w:spacing w:val="-1"/>
          <w:lang w:val="en-US" w:eastAsia="zh-CN"/>
        </w:rPr>
        <w:t>公司的质量、环境及职业健康安全方针是：顾客至上、优质高效、全员参与、持续改进、预防污染、绿色排放、遵守法律、安全第一。“品质是我们的命脉，好品质是我们永远必须要做到的条件”“为客户提供一流的产品，一流的技术支持及一流的服务”。公司的销售理念是：坚持三信：自信、信任、信誉。本着对客户负责，对客户的客户负责的态度处理销售中的各类问题。公司的内部管理理念是：以人为本、鼓励创新。公司实行人性化管理和铁的纪律相结合。在公司内部形成了人文的、高效的、活跃的、严谨的企业氛围。公司始终坚持人才是企业的根本，只有创新才能不断快速发展。</w:t>
      </w:r>
    </w:p>
    <w:p>
      <w:pPr>
        <w:pStyle w:val="4"/>
        <w:keepNext w:val="0"/>
        <w:keepLines w:val="0"/>
        <w:pageBreakBefore w:val="0"/>
        <w:widowControl w:val="0"/>
        <w:kinsoku/>
        <w:wordWrap/>
        <w:overflowPunct/>
        <w:topLinePunct w:val="0"/>
        <w:autoSpaceDE w:val="0"/>
        <w:autoSpaceDN w:val="0"/>
        <w:bidi w:val="0"/>
        <w:adjustRightInd/>
        <w:snapToGrid/>
        <w:spacing w:line="480" w:lineRule="auto"/>
        <w:ind w:left="0" w:right="0" w:firstLine="476" w:firstLineChars="200"/>
        <w:textAlignment w:val="auto"/>
        <w:rPr>
          <w:rFonts w:hint="default"/>
          <w:spacing w:val="-1"/>
          <w:lang w:val="en-US" w:eastAsia="zh-CN"/>
        </w:rPr>
      </w:pPr>
      <w:r>
        <w:rPr>
          <w:rFonts w:hint="eastAsia"/>
          <w:spacing w:val="-1"/>
          <w:lang w:val="en-US" w:eastAsia="zh-CN"/>
        </w:rPr>
        <w:t>公司将以高品位的设计理念为指导，一如既往的追求产品品质，精益求精，欢迎各界新老客户前来洽谈，共同协作。</w:t>
      </w:r>
    </w:p>
    <w:p>
      <w:pPr>
        <w:pStyle w:val="4"/>
        <w:keepNext w:val="0"/>
        <w:keepLines w:val="0"/>
        <w:pageBreakBefore w:val="0"/>
        <w:widowControl w:val="0"/>
        <w:kinsoku/>
        <w:wordWrap/>
        <w:overflowPunct/>
        <w:topLinePunct w:val="0"/>
        <w:autoSpaceDE w:val="0"/>
        <w:autoSpaceDN w:val="0"/>
        <w:bidi w:val="0"/>
        <w:adjustRightInd/>
        <w:snapToGrid/>
        <w:spacing w:line="360" w:lineRule="auto"/>
        <w:ind w:left="0" w:right="0" w:firstLine="476" w:firstLineChars="200"/>
        <w:textAlignment w:val="auto"/>
        <w:rPr>
          <w:rFonts w:hint="default"/>
          <w:spacing w:val="-1"/>
          <w:lang w:val="en-US" w:eastAsia="zh-CN"/>
        </w:rPr>
      </w:pPr>
    </w:p>
    <w:p>
      <w:pPr>
        <w:numPr>
          <w:ilvl w:val="0"/>
          <w:numId w:val="0"/>
        </w:numPr>
        <w:rPr>
          <w:rFonts w:hint="eastAsia" w:ascii="宋体" w:hAnsi="宋体" w:eastAsia="宋体" w:cs="宋体"/>
          <w:sz w:val="24"/>
          <w:highlight w:val="none"/>
          <w:lang w:eastAsia="zh-CN"/>
        </w:rPr>
      </w:pPr>
    </w:p>
    <w:p>
      <w:pPr>
        <w:numPr>
          <w:ilvl w:val="0"/>
          <w:numId w:val="0"/>
        </w:numPr>
        <w:rPr>
          <w:rFonts w:hint="eastAsia" w:ascii="宋体" w:hAnsi="宋体" w:eastAsia="宋体" w:cs="宋体"/>
          <w:sz w:val="24"/>
          <w:highlight w:val="none"/>
          <w:lang w:eastAsia="zh-CN"/>
        </w:rPr>
      </w:pPr>
    </w:p>
    <w:p>
      <w:pPr>
        <w:numPr>
          <w:ilvl w:val="0"/>
          <w:numId w:val="0"/>
        </w:numPr>
        <w:rPr>
          <w:rFonts w:hint="eastAsia" w:ascii="宋体" w:hAnsi="宋体" w:eastAsia="宋体" w:cs="宋体"/>
          <w:sz w:val="24"/>
          <w:highlight w:val="none"/>
          <w:lang w:eastAsia="zh-CN"/>
        </w:rPr>
      </w:pPr>
    </w:p>
    <w:p>
      <w:pPr>
        <w:numPr>
          <w:ilvl w:val="0"/>
          <w:numId w:val="0"/>
        </w:numPr>
        <w:rPr>
          <w:rFonts w:hint="eastAsia" w:ascii="宋体" w:hAnsi="宋体" w:eastAsia="宋体" w:cs="宋体"/>
          <w:sz w:val="24"/>
          <w:highlight w:val="none"/>
          <w:lang w:eastAsia="zh-CN"/>
        </w:rPr>
      </w:pPr>
    </w:p>
    <w:p>
      <w:pPr>
        <w:numPr>
          <w:ilvl w:val="0"/>
          <w:numId w:val="0"/>
        </w:numPr>
        <w:rPr>
          <w:rFonts w:hint="eastAsia" w:ascii="宋体" w:hAnsi="宋体" w:eastAsia="宋体" w:cs="宋体"/>
          <w:sz w:val="24"/>
          <w:highlight w:val="none"/>
          <w:lang w:eastAsia="zh-CN"/>
        </w:rPr>
      </w:pPr>
    </w:p>
    <w:p>
      <w:pPr>
        <w:numPr>
          <w:ilvl w:val="0"/>
          <w:numId w:val="0"/>
        </w:numPr>
        <w:rPr>
          <w:rFonts w:hint="eastAsia" w:ascii="宋体" w:hAnsi="宋体" w:eastAsia="宋体" w:cs="宋体"/>
          <w:sz w:val="24"/>
          <w:highlight w:val="none"/>
          <w:lang w:eastAsia="zh-CN"/>
        </w:rPr>
      </w:pPr>
    </w:p>
    <w:p>
      <w:pPr>
        <w:numPr>
          <w:ilvl w:val="0"/>
          <w:numId w:val="0"/>
        </w:numPr>
        <w:rPr>
          <w:rFonts w:hint="eastAsia" w:ascii="宋体" w:hAnsi="宋体" w:eastAsia="宋体" w:cs="宋体"/>
          <w:sz w:val="24"/>
          <w:highlight w:val="none"/>
          <w:lang w:eastAsia="zh-CN"/>
        </w:rPr>
      </w:pPr>
    </w:p>
    <w:p>
      <w:pPr>
        <w:pStyle w:val="2"/>
        <w:rPr>
          <w:rFonts w:hint="eastAsia" w:ascii="宋体" w:hAnsi="宋体" w:eastAsia="宋体" w:cs="宋体"/>
          <w:sz w:val="24"/>
          <w:highlight w:val="none"/>
          <w:lang w:eastAsia="zh-CN"/>
        </w:rPr>
      </w:pPr>
    </w:p>
    <w:p>
      <w:pPr>
        <w:rPr>
          <w:rFonts w:hint="eastAsia" w:ascii="宋体" w:hAnsi="宋体" w:eastAsia="宋体" w:cs="宋体"/>
          <w:sz w:val="24"/>
          <w:highlight w:val="none"/>
          <w:lang w:eastAsia="zh-CN"/>
        </w:rPr>
      </w:pPr>
    </w:p>
    <w:p>
      <w:pPr>
        <w:pStyle w:val="2"/>
        <w:rPr>
          <w:rFonts w:hint="eastAsia" w:ascii="宋体" w:hAnsi="宋体" w:eastAsia="宋体" w:cs="宋体"/>
          <w:sz w:val="24"/>
          <w:highlight w:val="none"/>
          <w:lang w:eastAsia="zh-CN"/>
        </w:rPr>
      </w:pPr>
    </w:p>
    <w:p>
      <w:pPr>
        <w:rPr>
          <w:rFonts w:hint="eastAsia" w:ascii="宋体" w:hAnsi="宋体" w:eastAsia="宋体" w:cs="宋体"/>
          <w:sz w:val="24"/>
          <w:highlight w:val="none"/>
          <w:lang w:eastAsia="zh-CN"/>
        </w:rPr>
      </w:pPr>
    </w:p>
    <w:p>
      <w:pPr>
        <w:pStyle w:val="2"/>
        <w:rPr>
          <w:rFonts w:hint="eastAsia" w:ascii="宋体" w:hAnsi="宋体" w:eastAsia="宋体" w:cs="宋体"/>
          <w:sz w:val="24"/>
          <w:highlight w:val="none"/>
          <w:lang w:eastAsia="zh-CN"/>
        </w:rPr>
      </w:pPr>
    </w:p>
    <w:p>
      <w:pPr>
        <w:rPr>
          <w:rFonts w:hint="eastAsia" w:ascii="宋体" w:hAnsi="宋体" w:eastAsia="宋体" w:cs="宋体"/>
          <w:sz w:val="24"/>
          <w:highlight w:val="none"/>
          <w:lang w:eastAsia="zh-CN"/>
        </w:rPr>
      </w:pPr>
    </w:p>
    <w:p>
      <w:pPr>
        <w:pStyle w:val="2"/>
        <w:rPr>
          <w:rFonts w:hint="eastAsia" w:ascii="宋体" w:hAnsi="宋体" w:eastAsia="宋体" w:cs="宋体"/>
          <w:sz w:val="24"/>
          <w:highlight w:val="none"/>
          <w:lang w:eastAsia="zh-CN"/>
        </w:rPr>
      </w:pPr>
    </w:p>
    <w:p>
      <w:pPr>
        <w:rPr>
          <w:rFonts w:hint="eastAsia" w:ascii="宋体" w:hAnsi="宋体" w:eastAsia="宋体" w:cs="宋体"/>
          <w:sz w:val="24"/>
          <w:highlight w:val="none"/>
          <w:lang w:eastAsia="zh-CN"/>
        </w:rPr>
      </w:pPr>
    </w:p>
    <w:p>
      <w:pPr>
        <w:pStyle w:val="2"/>
        <w:rPr>
          <w:rFonts w:hint="eastAsia" w:ascii="宋体" w:hAnsi="宋体" w:eastAsia="宋体" w:cs="宋体"/>
          <w:sz w:val="24"/>
          <w:highlight w:val="none"/>
          <w:lang w:eastAsia="zh-CN"/>
        </w:rPr>
      </w:pPr>
    </w:p>
    <w:p>
      <w:pPr>
        <w:rPr>
          <w:rFonts w:hint="eastAsia" w:ascii="宋体" w:hAnsi="宋体" w:eastAsia="宋体" w:cs="宋体"/>
          <w:sz w:val="24"/>
          <w:highlight w:val="none"/>
          <w:lang w:eastAsia="zh-CN"/>
        </w:rPr>
      </w:pPr>
    </w:p>
    <w:p>
      <w:pPr>
        <w:pStyle w:val="2"/>
        <w:rPr>
          <w:rFonts w:hint="eastAsia"/>
          <w:lang w:eastAsia="zh-CN"/>
        </w:rPr>
      </w:pPr>
    </w:p>
    <w:p>
      <w:pPr>
        <w:pStyle w:val="2"/>
        <w:rPr>
          <w:rFonts w:hint="eastAsia" w:ascii="宋体" w:hAnsi="宋体" w:eastAsia="宋体" w:cs="宋体"/>
          <w:sz w:val="24"/>
          <w:highlight w:val="none"/>
          <w:lang w:eastAsia="zh-CN"/>
        </w:rPr>
      </w:pPr>
    </w:p>
    <w:p>
      <w:pPr>
        <w:rPr>
          <w:rFonts w:hint="eastAsia"/>
          <w:lang w:eastAsia="zh-CN"/>
        </w:rPr>
      </w:pPr>
    </w:p>
    <w:p>
      <w:pPr>
        <w:pStyle w:val="3"/>
        <w:spacing w:before="143"/>
        <w:ind w:left="0"/>
        <w:rPr>
          <w:b/>
          <w:bCs/>
        </w:rPr>
      </w:pPr>
      <w:r>
        <w:rPr>
          <w:b/>
          <w:bCs/>
        </w:rPr>
        <w:t>一、责任聚焦</w:t>
      </w:r>
      <w:bookmarkEnd w:id="2"/>
    </w:p>
    <w:p>
      <w:pPr>
        <w:pStyle w:val="4"/>
        <w:spacing w:before="6"/>
        <w:ind w:left="0"/>
        <w:rPr>
          <w:sz w:val="22"/>
        </w:rPr>
      </w:pPr>
    </w:p>
    <w:p>
      <w:pPr>
        <w:pStyle w:val="4"/>
        <w:keepNext w:val="0"/>
        <w:keepLines w:val="0"/>
        <w:pageBreakBefore w:val="0"/>
        <w:widowControl w:val="0"/>
        <w:kinsoku/>
        <w:wordWrap/>
        <w:overflowPunct/>
        <w:topLinePunct w:val="0"/>
        <w:autoSpaceDE w:val="0"/>
        <w:autoSpaceDN w:val="0"/>
        <w:bidi w:val="0"/>
        <w:adjustRightInd/>
        <w:snapToGrid/>
        <w:spacing w:line="360" w:lineRule="auto"/>
        <w:ind w:left="0" w:right="0" w:firstLine="476" w:firstLineChars="200"/>
        <w:textAlignment w:val="auto"/>
      </w:pPr>
      <w:r>
        <w:rPr>
          <w:spacing w:val="-1"/>
        </w:rPr>
        <w:t>一个企业最大的社会责任，就是要让公司健康发展，为社会创造更多价值。</w:t>
      </w:r>
      <w:r>
        <w:rPr>
          <w:spacing w:val="-6"/>
        </w:rPr>
        <w:t>一家成功的公司会解决就业、缴税、员工福利、环境保护等问题，同时为政府纳税，政府税收又会通过多种方式完成相应的社会责任。</w:t>
      </w:r>
    </w:p>
    <w:p>
      <w:pPr>
        <w:pStyle w:val="14"/>
        <w:keepNext w:val="0"/>
        <w:keepLines w:val="0"/>
        <w:pageBreakBefore w:val="0"/>
        <w:widowControl w:val="0"/>
        <w:numPr>
          <w:ilvl w:val="0"/>
          <w:numId w:val="0"/>
        </w:numPr>
        <w:tabs>
          <w:tab w:val="left" w:pos="600"/>
        </w:tabs>
        <w:kinsoku/>
        <w:wordWrap/>
        <w:overflowPunct/>
        <w:topLinePunct w:val="0"/>
        <w:autoSpaceDE w:val="0"/>
        <w:autoSpaceDN w:val="0"/>
        <w:bidi w:val="0"/>
        <w:adjustRightInd/>
        <w:snapToGrid/>
        <w:spacing w:before="0" w:line="360" w:lineRule="auto"/>
        <w:ind w:leftChars="200" w:right="0" w:rightChars="0"/>
        <w:textAlignment w:val="auto"/>
        <w:rPr>
          <w:sz w:val="24"/>
        </w:rPr>
      </w:pPr>
      <w:r>
        <w:rPr>
          <w:rFonts w:hint="eastAsia"/>
          <w:sz w:val="24"/>
          <w:lang w:val="en-US" w:eastAsia="zh-CN"/>
        </w:rPr>
        <w:t xml:space="preserve">1.1 </w:t>
      </w:r>
      <w:r>
        <w:rPr>
          <w:sz w:val="24"/>
        </w:rPr>
        <w:t>社会责任观</w:t>
      </w:r>
    </w:p>
    <w:p>
      <w:pPr>
        <w:pStyle w:val="4"/>
        <w:keepNext w:val="0"/>
        <w:keepLines w:val="0"/>
        <w:pageBreakBefore w:val="0"/>
        <w:widowControl w:val="0"/>
        <w:kinsoku/>
        <w:wordWrap/>
        <w:overflowPunct/>
        <w:topLinePunct w:val="0"/>
        <w:autoSpaceDE w:val="0"/>
        <w:autoSpaceDN w:val="0"/>
        <w:bidi w:val="0"/>
        <w:adjustRightInd/>
        <w:snapToGrid/>
        <w:spacing w:line="360" w:lineRule="auto"/>
        <w:ind w:left="0" w:right="0" w:firstLine="444" w:firstLineChars="200"/>
        <w:jc w:val="both"/>
        <w:textAlignment w:val="auto"/>
      </w:pPr>
      <w:r>
        <w:rPr>
          <w:spacing w:val="-9"/>
        </w:rPr>
        <w:t>随着全球化经济的不断发展，可持续发展的理念已经成为许多国际型企业发展战略的核心。支持社会公益事业，倡导社会环境的可持续发展，做负社会责任</w:t>
      </w:r>
      <w:r>
        <w:rPr>
          <w:spacing w:val="-10"/>
        </w:rPr>
        <w:t>的企业公民，已成为企业公共关系的重要主题。在企业发展的过程中，我们逐渐认识到，公共关系策略不再是简单地运用产品进行促销，基于传统营销传播观念</w:t>
      </w:r>
      <w:r>
        <w:rPr>
          <w:spacing w:val="-5"/>
        </w:rPr>
        <w:t>的公共关系已经远远不能适应时代潮流以及公众对环保的需要，取而代之的应该</w:t>
      </w:r>
      <w:r>
        <w:rPr>
          <w:spacing w:val="-7"/>
        </w:rPr>
        <w:t>是企业对社会责任的承诺与行动，它们不但应该融入企业的发展战略，而且应成</w:t>
      </w:r>
      <w:r>
        <w:rPr>
          <w:spacing w:val="-6"/>
        </w:rPr>
        <w:t>为公共关系传播的出发点和着眼点。</w:t>
      </w:r>
      <w:r>
        <w:rPr>
          <w:spacing w:val="-6"/>
          <w:highlight w:val="none"/>
        </w:rPr>
        <w:t>于是我们始终把“</w:t>
      </w:r>
      <w:r>
        <w:rPr>
          <w:rFonts w:hint="eastAsia"/>
          <w:spacing w:val="-6"/>
          <w:highlight w:val="none"/>
          <w:lang w:val="en-US" w:eastAsia="zh-CN"/>
        </w:rPr>
        <w:t>以人为本、鼓励创新</w:t>
      </w:r>
      <w:r>
        <w:rPr>
          <w:spacing w:val="-6"/>
          <w:highlight w:val="none"/>
        </w:rPr>
        <w:t>”视为企</w:t>
      </w:r>
      <w:r>
        <w:rPr>
          <w:highlight w:val="none"/>
        </w:rPr>
        <w:t>业经营的长远战略，视为企业发展战略的精髓，视为企业文化的核心基石。</w:t>
      </w:r>
    </w:p>
    <w:p>
      <w:pPr>
        <w:pStyle w:val="4"/>
        <w:keepNext w:val="0"/>
        <w:keepLines w:val="0"/>
        <w:pageBreakBefore w:val="0"/>
        <w:widowControl w:val="0"/>
        <w:kinsoku/>
        <w:wordWrap/>
        <w:overflowPunct/>
        <w:topLinePunct w:val="0"/>
        <w:autoSpaceDE w:val="0"/>
        <w:autoSpaceDN w:val="0"/>
        <w:bidi w:val="0"/>
        <w:adjustRightInd/>
        <w:snapToGrid/>
        <w:spacing w:line="360" w:lineRule="auto"/>
        <w:ind w:left="0" w:right="0" w:firstLine="452" w:firstLineChars="200"/>
        <w:textAlignment w:val="auto"/>
        <w:rPr>
          <w:spacing w:val="-12"/>
          <w:highlight w:val="none"/>
        </w:rPr>
      </w:pPr>
      <w:r>
        <w:rPr>
          <w:spacing w:val="-7"/>
        </w:rPr>
        <w:t>企业社会责任不是口号，我们创立之初就确定我们是一个价值观公司，没有</w:t>
      </w:r>
      <w:r>
        <w:rPr>
          <w:spacing w:val="-12"/>
        </w:rPr>
        <w:t>历史，</w:t>
      </w:r>
      <w:r>
        <w:rPr>
          <w:spacing w:val="-12"/>
          <w:highlight w:val="none"/>
        </w:rPr>
        <w:t>社会责任是无根的；没有对未来的承诺，社会责任是短命的。多年来，公司坚持以“</w:t>
      </w:r>
      <w:r>
        <w:rPr>
          <w:rFonts w:hint="eastAsia"/>
          <w:spacing w:val="-12"/>
          <w:highlight w:val="none"/>
          <w:lang w:val="en-US" w:eastAsia="zh-CN"/>
        </w:rPr>
        <w:t>引领智能电气前进方向，创新智能电气发展道路</w:t>
      </w:r>
      <w:r>
        <w:rPr>
          <w:spacing w:val="-12"/>
          <w:highlight w:val="none"/>
        </w:rPr>
        <w:t>”作为企业使</w:t>
      </w:r>
      <w:r>
        <w:rPr>
          <w:rFonts w:ascii="宋体" w:hAnsi="宋体" w:eastAsia="宋体" w:cs="宋体"/>
          <w:spacing w:val="-12"/>
          <w:highlight w:val="none"/>
        </w:rPr>
        <w:t>命，以“</w:t>
      </w:r>
      <w:r>
        <w:rPr>
          <w:rFonts w:hint="eastAsia" w:cs="宋体"/>
          <w:spacing w:val="-12"/>
          <w:highlight w:val="none"/>
          <w:lang w:val="en-US" w:eastAsia="zh-CN"/>
        </w:rPr>
        <w:t>共创百年企业</w:t>
      </w:r>
      <w:r>
        <w:rPr>
          <w:rFonts w:ascii="宋体" w:hAnsi="宋体" w:eastAsia="宋体" w:cs="宋体"/>
          <w:spacing w:val="-12"/>
          <w:highlight w:val="none"/>
        </w:rPr>
        <w:t>”作</w:t>
      </w:r>
      <w:r>
        <w:rPr>
          <w:spacing w:val="-12"/>
          <w:highlight w:val="none"/>
        </w:rPr>
        <w:t>为公司</w:t>
      </w:r>
      <w:r>
        <w:rPr>
          <w:rFonts w:hint="eastAsia"/>
          <w:spacing w:val="-12"/>
          <w:highlight w:val="none"/>
          <w:lang w:val="en-US"/>
        </w:rPr>
        <w:t>愿景</w:t>
      </w:r>
      <w:r>
        <w:rPr>
          <w:spacing w:val="-12"/>
          <w:highlight w:val="none"/>
        </w:rPr>
        <w:t>，以“</w:t>
      </w:r>
      <w:r>
        <w:rPr>
          <w:rFonts w:hint="eastAsia"/>
          <w:spacing w:val="-12"/>
          <w:highlight w:val="none"/>
          <w:lang w:val="en-US" w:eastAsia="zh-CN"/>
        </w:rPr>
        <w:t>以用户为核心、以质取信、融合创新、坚持勤勉、分享与赋能</w:t>
      </w:r>
      <w:r>
        <w:rPr>
          <w:spacing w:val="-12"/>
          <w:highlight w:val="none"/>
        </w:rPr>
        <w:t>”为</w:t>
      </w:r>
      <w:r>
        <w:rPr>
          <w:rFonts w:hint="eastAsia"/>
          <w:spacing w:val="-12"/>
          <w:highlight w:val="none"/>
          <w:lang w:val="en-US"/>
        </w:rPr>
        <w:t>公司核心价值观</w:t>
      </w:r>
      <w:r>
        <w:rPr>
          <w:spacing w:val="-12"/>
          <w:highlight w:val="none"/>
        </w:rPr>
        <w:t>，在履行企业社会责任中做了大量工作。</w:t>
      </w:r>
    </w:p>
    <w:p>
      <w:pPr>
        <w:pStyle w:val="14"/>
        <w:numPr>
          <w:ilvl w:val="1"/>
          <w:numId w:val="2"/>
        </w:numPr>
        <w:tabs>
          <w:tab w:val="left" w:pos="600"/>
        </w:tabs>
        <w:spacing w:line="360" w:lineRule="auto"/>
        <w:ind w:hanging="481"/>
        <w:rPr>
          <w:sz w:val="24"/>
        </w:rPr>
      </w:pPr>
      <w:r>
        <w:rPr>
          <w:sz w:val="24"/>
        </w:rPr>
        <w:t>利益相关方</w:t>
      </w:r>
    </w:p>
    <w:p>
      <w:pPr>
        <w:pStyle w:val="4"/>
        <w:keepNext w:val="0"/>
        <w:keepLines w:val="0"/>
        <w:pageBreakBefore w:val="0"/>
        <w:widowControl w:val="0"/>
        <w:kinsoku/>
        <w:wordWrap/>
        <w:overflowPunct/>
        <w:topLinePunct w:val="0"/>
        <w:autoSpaceDE w:val="0"/>
        <w:autoSpaceDN w:val="0"/>
        <w:bidi w:val="0"/>
        <w:adjustRightInd/>
        <w:snapToGrid/>
        <w:spacing w:line="360" w:lineRule="auto"/>
        <w:ind w:left="0" w:right="0" w:firstLine="480" w:firstLineChars="200"/>
        <w:jc w:val="both"/>
        <w:textAlignment w:val="auto"/>
      </w:pPr>
      <w:r>
        <mc:AlternateContent>
          <mc:Choice Requires="wps">
            <w:drawing>
              <wp:anchor distT="0" distB="0" distL="114300" distR="114300" simplePos="0" relativeHeight="251659264" behindDoc="0" locked="0" layoutInCell="1" allowOverlap="1">
                <wp:simplePos x="0" y="0"/>
                <wp:positionH relativeFrom="page">
                  <wp:posOffset>1132205</wp:posOffset>
                </wp:positionH>
                <wp:positionV relativeFrom="paragraph">
                  <wp:posOffset>965200</wp:posOffset>
                </wp:positionV>
                <wp:extent cx="5443855" cy="1575435"/>
                <wp:effectExtent l="0" t="0" r="0" b="0"/>
                <wp:wrapNone/>
                <wp:docPr id="1" name="文本框 2"/>
                <wp:cNvGraphicFramePr/>
                <a:graphic xmlns:a="http://schemas.openxmlformats.org/drawingml/2006/main">
                  <a:graphicData uri="http://schemas.microsoft.com/office/word/2010/wordprocessingShape">
                    <wps:wsp>
                      <wps:cNvSpPr txBox="1"/>
                      <wps:spPr>
                        <a:xfrm>
                          <a:off x="0" y="0"/>
                          <a:ext cx="5443855" cy="1575435"/>
                        </a:xfrm>
                        <a:prstGeom prst="rect">
                          <a:avLst/>
                        </a:prstGeom>
                        <a:noFill/>
                        <a:ln>
                          <a:noFill/>
                        </a:ln>
                      </wps:spPr>
                      <wps:txbx>
                        <w:txbxContent>
                          <w:tbl>
                            <w:tblPr>
                              <w:tblStyle w:val="10"/>
                              <w:tblW w:w="8376"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980"/>
                              <w:gridCol w:w="639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7" w:hRule="atLeast"/>
                              </w:trPr>
                              <w:tc>
                                <w:tcPr>
                                  <w:tcW w:w="1980" w:type="dxa"/>
                                  <w:shd w:val="clear" w:color="auto" w:fill="548DD4" w:themeFill="text2" w:themeFillTint="99"/>
                                  <w:vAlign w:val="center"/>
                                </w:tcPr>
                                <w:p>
                                  <w:pPr>
                                    <w:pStyle w:val="15"/>
                                    <w:keepNext w:val="0"/>
                                    <w:keepLines w:val="0"/>
                                    <w:pageBreakBefore w:val="0"/>
                                    <w:widowControl w:val="0"/>
                                    <w:kinsoku/>
                                    <w:wordWrap/>
                                    <w:overflowPunct/>
                                    <w:topLinePunct w:val="0"/>
                                    <w:autoSpaceDE w:val="0"/>
                                    <w:autoSpaceDN w:val="0"/>
                                    <w:bidi w:val="0"/>
                                    <w:adjustRightInd/>
                                    <w:snapToGrid/>
                                    <w:spacing w:before="0" w:line="240" w:lineRule="auto"/>
                                    <w:ind w:left="0" w:right="0"/>
                                    <w:jc w:val="center"/>
                                    <w:textAlignment w:val="auto"/>
                                    <w:rPr>
                                      <w:b/>
                                      <w:bCs/>
                                      <w:sz w:val="21"/>
                                      <w:szCs w:val="21"/>
                                    </w:rPr>
                                  </w:pPr>
                                  <w:r>
                                    <w:rPr>
                                      <w:b/>
                                      <w:bCs/>
                                      <w:sz w:val="21"/>
                                      <w:szCs w:val="21"/>
                                    </w:rPr>
                                    <w:t>利益相关方</w:t>
                                  </w:r>
                                </w:p>
                              </w:tc>
                              <w:tc>
                                <w:tcPr>
                                  <w:tcW w:w="6396" w:type="dxa"/>
                                  <w:shd w:val="clear" w:color="auto" w:fill="548DD4" w:themeFill="text2" w:themeFillTint="99"/>
                                  <w:vAlign w:val="center"/>
                                </w:tcPr>
                                <w:p>
                                  <w:pPr>
                                    <w:pStyle w:val="15"/>
                                    <w:keepNext w:val="0"/>
                                    <w:keepLines w:val="0"/>
                                    <w:pageBreakBefore w:val="0"/>
                                    <w:widowControl w:val="0"/>
                                    <w:kinsoku/>
                                    <w:wordWrap/>
                                    <w:overflowPunct/>
                                    <w:topLinePunct w:val="0"/>
                                    <w:autoSpaceDE w:val="0"/>
                                    <w:autoSpaceDN w:val="0"/>
                                    <w:bidi w:val="0"/>
                                    <w:adjustRightInd/>
                                    <w:snapToGrid/>
                                    <w:spacing w:before="0" w:line="240" w:lineRule="auto"/>
                                    <w:ind w:left="0" w:right="0"/>
                                    <w:jc w:val="center"/>
                                    <w:textAlignment w:val="auto"/>
                                    <w:rPr>
                                      <w:b/>
                                      <w:bCs/>
                                      <w:sz w:val="21"/>
                                      <w:szCs w:val="21"/>
                                    </w:rPr>
                                  </w:pPr>
                                  <w:r>
                                    <w:rPr>
                                      <w:b/>
                                      <w:bCs/>
                                      <w:sz w:val="21"/>
                                      <w:szCs w:val="21"/>
                                    </w:rPr>
                                    <w:t>责任与举措</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7" w:hRule="atLeast"/>
                              </w:trPr>
                              <w:tc>
                                <w:tcPr>
                                  <w:tcW w:w="1980" w:type="dxa"/>
                                  <w:vAlign w:val="center"/>
                                </w:tcPr>
                                <w:p>
                                  <w:pPr>
                                    <w:pStyle w:val="15"/>
                                    <w:keepNext w:val="0"/>
                                    <w:keepLines w:val="0"/>
                                    <w:pageBreakBefore w:val="0"/>
                                    <w:widowControl w:val="0"/>
                                    <w:kinsoku/>
                                    <w:wordWrap/>
                                    <w:overflowPunct/>
                                    <w:topLinePunct w:val="0"/>
                                    <w:autoSpaceDE w:val="0"/>
                                    <w:autoSpaceDN w:val="0"/>
                                    <w:bidi w:val="0"/>
                                    <w:adjustRightInd/>
                                    <w:snapToGrid/>
                                    <w:spacing w:before="0" w:line="240" w:lineRule="auto"/>
                                    <w:ind w:left="0" w:right="0"/>
                                    <w:jc w:val="center"/>
                                    <w:textAlignment w:val="auto"/>
                                    <w:rPr>
                                      <w:b/>
                                      <w:bCs/>
                                      <w:sz w:val="21"/>
                                      <w:szCs w:val="21"/>
                                    </w:rPr>
                                  </w:pPr>
                                  <w:r>
                                    <w:rPr>
                                      <w:b/>
                                      <w:bCs/>
                                      <w:sz w:val="21"/>
                                      <w:szCs w:val="21"/>
                                    </w:rPr>
                                    <w:t>投资者</w:t>
                                  </w:r>
                                </w:p>
                              </w:tc>
                              <w:tc>
                                <w:tcPr>
                                  <w:tcW w:w="6396" w:type="dxa"/>
                                  <w:vAlign w:val="center"/>
                                </w:tcPr>
                                <w:p>
                                  <w:pPr>
                                    <w:pStyle w:val="15"/>
                                    <w:keepNext w:val="0"/>
                                    <w:keepLines w:val="0"/>
                                    <w:pageBreakBefore w:val="0"/>
                                    <w:widowControl w:val="0"/>
                                    <w:kinsoku/>
                                    <w:wordWrap/>
                                    <w:overflowPunct/>
                                    <w:topLinePunct w:val="0"/>
                                    <w:autoSpaceDE w:val="0"/>
                                    <w:autoSpaceDN w:val="0"/>
                                    <w:bidi w:val="0"/>
                                    <w:adjustRightInd/>
                                    <w:snapToGrid/>
                                    <w:spacing w:before="0" w:line="240" w:lineRule="auto"/>
                                    <w:ind w:left="0" w:right="0"/>
                                    <w:jc w:val="both"/>
                                    <w:textAlignment w:val="auto"/>
                                    <w:rPr>
                                      <w:sz w:val="21"/>
                                      <w:szCs w:val="21"/>
                                    </w:rPr>
                                  </w:pPr>
                                  <w:r>
                                    <w:rPr>
                                      <w:sz w:val="21"/>
                                      <w:szCs w:val="21"/>
                                    </w:rPr>
                                    <w:t>准确及时披露经营状况和重大事项信息，提供合理投资回报遵循责任经营和责任投资的基本原则</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7" w:hRule="atLeast"/>
                              </w:trPr>
                              <w:tc>
                                <w:tcPr>
                                  <w:tcW w:w="1980" w:type="dxa"/>
                                  <w:vAlign w:val="center"/>
                                </w:tcPr>
                                <w:p>
                                  <w:pPr>
                                    <w:pStyle w:val="15"/>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jc w:val="center"/>
                                    <w:textAlignment w:val="auto"/>
                                    <w:rPr>
                                      <w:rFonts w:ascii="宋体" w:hAnsi="宋体" w:eastAsia="宋体" w:cs="宋体"/>
                                      <w:b/>
                                      <w:bCs/>
                                      <w:sz w:val="21"/>
                                      <w:szCs w:val="21"/>
                                      <w:lang w:val="zh-CN" w:eastAsia="zh-CN" w:bidi="zh-CN"/>
                                    </w:rPr>
                                  </w:pPr>
                                  <w:r>
                                    <w:rPr>
                                      <w:b/>
                                      <w:bCs/>
                                      <w:sz w:val="21"/>
                                      <w:szCs w:val="21"/>
                                    </w:rPr>
                                    <w:t>客 户</w:t>
                                  </w:r>
                                </w:p>
                              </w:tc>
                              <w:tc>
                                <w:tcPr>
                                  <w:tcW w:w="6396" w:type="dxa"/>
                                  <w:vAlign w:val="center"/>
                                </w:tcPr>
                                <w:p>
                                  <w:pPr>
                                    <w:pStyle w:val="15"/>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jc w:val="both"/>
                                    <w:textAlignment w:val="auto"/>
                                    <w:rPr>
                                      <w:rFonts w:ascii="宋体" w:hAnsi="宋体" w:eastAsia="宋体" w:cs="宋体"/>
                                      <w:sz w:val="21"/>
                                      <w:szCs w:val="21"/>
                                      <w:lang w:val="zh-CN" w:eastAsia="zh-CN" w:bidi="zh-CN"/>
                                    </w:rPr>
                                  </w:pPr>
                                  <w:r>
                                    <w:rPr>
                                      <w:sz w:val="21"/>
                                      <w:szCs w:val="21"/>
                                    </w:rPr>
                                    <w:t>提供优质的产品和服务；产品具有安全性和便利性；持续提升客户满意度；及时合规的信息沟通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7" w:hRule="atLeast"/>
                              </w:trPr>
                              <w:tc>
                                <w:tcPr>
                                  <w:tcW w:w="1980" w:type="dxa"/>
                                  <w:vAlign w:val="center"/>
                                </w:tcPr>
                                <w:p>
                                  <w:pPr>
                                    <w:pStyle w:val="15"/>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jc w:val="center"/>
                                    <w:textAlignment w:val="auto"/>
                                    <w:rPr>
                                      <w:rFonts w:ascii="宋体" w:hAnsi="宋体" w:eastAsia="宋体" w:cs="宋体"/>
                                      <w:b/>
                                      <w:bCs/>
                                      <w:sz w:val="21"/>
                                      <w:szCs w:val="21"/>
                                      <w:lang w:val="zh-CN" w:eastAsia="zh-CN" w:bidi="zh-CN"/>
                                    </w:rPr>
                                  </w:pPr>
                                  <w:r>
                                    <w:rPr>
                                      <w:b/>
                                      <w:bCs/>
                                      <w:sz w:val="21"/>
                                      <w:szCs w:val="21"/>
                                    </w:rPr>
                                    <w:t>员 工</w:t>
                                  </w:r>
                                </w:p>
                              </w:tc>
                              <w:tc>
                                <w:tcPr>
                                  <w:tcW w:w="6396" w:type="dxa"/>
                                  <w:vAlign w:val="center"/>
                                </w:tcPr>
                                <w:p>
                                  <w:pPr>
                                    <w:pStyle w:val="15"/>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jc w:val="both"/>
                                    <w:textAlignment w:val="auto"/>
                                    <w:rPr>
                                      <w:rFonts w:ascii="宋体" w:hAnsi="宋体" w:eastAsia="宋体" w:cs="宋体"/>
                                      <w:sz w:val="21"/>
                                      <w:szCs w:val="21"/>
                                      <w:lang w:val="zh-CN" w:eastAsia="zh-CN" w:bidi="zh-CN"/>
                                    </w:rPr>
                                  </w:pPr>
                                  <w:r>
                                    <w:rPr>
                                      <w:sz w:val="21"/>
                                      <w:szCs w:val="21"/>
                                    </w:rPr>
                                    <w:t>维护员工合法权益；创造良好的工作环境；给予合理的待遇提供教育和培训，为员工创造发展空间</w:t>
                                  </w:r>
                                </w:p>
                              </w:tc>
                            </w:tr>
                          </w:tbl>
                          <w:p>
                            <w:pPr>
                              <w:pStyle w:val="4"/>
                              <w:ind w:left="0"/>
                              <w:rPr>
                                <w:highlight w:val="yellow"/>
                              </w:rPr>
                            </w:pPr>
                          </w:p>
                        </w:txbxContent>
                      </wps:txbx>
                      <wps:bodyPr lIns="0" tIns="0" rIns="0" bIns="0" upright="1"/>
                    </wps:wsp>
                  </a:graphicData>
                </a:graphic>
              </wp:anchor>
            </w:drawing>
          </mc:Choice>
          <mc:Fallback>
            <w:pict>
              <v:shape id="文本框 2" o:spid="_x0000_s1026" o:spt="202" type="#_x0000_t202" style="position:absolute;left:0pt;margin-left:89.15pt;margin-top:76pt;height:124.05pt;width:428.65pt;mso-position-horizontal-relative:page;z-index:251659264;mso-width-relative:page;mso-height-relative:page;" filled="f" stroked="f" coordsize="21600,21600" o:gfxdata="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">
                <v:fill on="f" focussize="0,0"/>
                <v:stroke on="f"/>
                <v:imagedata o:title=""/>
                <o:lock v:ext="edit" aspectratio="f"/>
                <v:textbox inset="0mm,0mm,0mm,0mm">
                  <w:txbxContent>
                    <w:tbl>
                      <w:tblPr>
                        <w:tblStyle w:val="10"/>
                        <w:tblW w:w="8376"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980"/>
                        <w:gridCol w:w="639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7" w:hRule="atLeast"/>
                        </w:trPr>
                        <w:tc>
                          <w:tcPr>
                            <w:tcW w:w="1980" w:type="dxa"/>
                            <w:shd w:val="clear" w:color="auto" w:fill="548DD4" w:themeFill="text2" w:themeFillTint="99"/>
                            <w:vAlign w:val="center"/>
                          </w:tcPr>
                          <w:p>
                            <w:pPr>
                              <w:pStyle w:val="15"/>
                              <w:keepNext w:val="0"/>
                              <w:keepLines w:val="0"/>
                              <w:pageBreakBefore w:val="0"/>
                              <w:widowControl w:val="0"/>
                              <w:kinsoku/>
                              <w:wordWrap/>
                              <w:overflowPunct/>
                              <w:topLinePunct w:val="0"/>
                              <w:autoSpaceDE w:val="0"/>
                              <w:autoSpaceDN w:val="0"/>
                              <w:bidi w:val="0"/>
                              <w:adjustRightInd/>
                              <w:snapToGrid/>
                              <w:spacing w:before="0" w:line="240" w:lineRule="auto"/>
                              <w:ind w:left="0" w:right="0"/>
                              <w:jc w:val="center"/>
                              <w:textAlignment w:val="auto"/>
                              <w:rPr>
                                <w:b/>
                                <w:bCs/>
                                <w:sz w:val="21"/>
                                <w:szCs w:val="21"/>
                              </w:rPr>
                            </w:pPr>
                            <w:r>
                              <w:rPr>
                                <w:b/>
                                <w:bCs/>
                                <w:sz w:val="21"/>
                                <w:szCs w:val="21"/>
                              </w:rPr>
                              <w:t>利益相关方</w:t>
                            </w:r>
                          </w:p>
                        </w:tc>
                        <w:tc>
                          <w:tcPr>
                            <w:tcW w:w="6396" w:type="dxa"/>
                            <w:shd w:val="clear" w:color="auto" w:fill="548DD4" w:themeFill="text2" w:themeFillTint="99"/>
                            <w:vAlign w:val="center"/>
                          </w:tcPr>
                          <w:p>
                            <w:pPr>
                              <w:pStyle w:val="15"/>
                              <w:keepNext w:val="0"/>
                              <w:keepLines w:val="0"/>
                              <w:pageBreakBefore w:val="0"/>
                              <w:widowControl w:val="0"/>
                              <w:kinsoku/>
                              <w:wordWrap/>
                              <w:overflowPunct/>
                              <w:topLinePunct w:val="0"/>
                              <w:autoSpaceDE w:val="0"/>
                              <w:autoSpaceDN w:val="0"/>
                              <w:bidi w:val="0"/>
                              <w:adjustRightInd/>
                              <w:snapToGrid/>
                              <w:spacing w:before="0" w:line="240" w:lineRule="auto"/>
                              <w:ind w:left="0" w:right="0"/>
                              <w:jc w:val="center"/>
                              <w:textAlignment w:val="auto"/>
                              <w:rPr>
                                <w:b/>
                                <w:bCs/>
                                <w:sz w:val="21"/>
                                <w:szCs w:val="21"/>
                              </w:rPr>
                            </w:pPr>
                            <w:r>
                              <w:rPr>
                                <w:b/>
                                <w:bCs/>
                                <w:sz w:val="21"/>
                                <w:szCs w:val="21"/>
                              </w:rPr>
                              <w:t>责任与举措</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7" w:hRule="atLeast"/>
                        </w:trPr>
                        <w:tc>
                          <w:tcPr>
                            <w:tcW w:w="1980" w:type="dxa"/>
                            <w:vAlign w:val="center"/>
                          </w:tcPr>
                          <w:p>
                            <w:pPr>
                              <w:pStyle w:val="15"/>
                              <w:keepNext w:val="0"/>
                              <w:keepLines w:val="0"/>
                              <w:pageBreakBefore w:val="0"/>
                              <w:widowControl w:val="0"/>
                              <w:kinsoku/>
                              <w:wordWrap/>
                              <w:overflowPunct/>
                              <w:topLinePunct w:val="0"/>
                              <w:autoSpaceDE w:val="0"/>
                              <w:autoSpaceDN w:val="0"/>
                              <w:bidi w:val="0"/>
                              <w:adjustRightInd/>
                              <w:snapToGrid/>
                              <w:spacing w:before="0" w:line="240" w:lineRule="auto"/>
                              <w:ind w:left="0" w:right="0"/>
                              <w:jc w:val="center"/>
                              <w:textAlignment w:val="auto"/>
                              <w:rPr>
                                <w:b/>
                                <w:bCs/>
                                <w:sz w:val="21"/>
                                <w:szCs w:val="21"/>
                              </w:rPr>
                            </w:pPr>
                            <w:r>
                              <w:rPr>
                                <w:b/>
                                <w:bCs/>
                                <w:sz w:val="21"/>
                                <w:szCs w:val="21"/>
                              </w:rPr>
                              <w:t>投资者</w:t>
                            </w:r>
                          </w:p>
                        </w:tc>
                        <w:tc>
                          <w:tcPr>
                            <w:tcW w:w="6396" w:type="dxa"/>
                            <w:vAlign w:val="center"/>
                          </w:tcPr>
                          <w:p>
                            <w:pPr>
                              <w:pStyle w:val="15"/>
                              <w:keepNext w:val="0"/>
                              <w:keepLines w:val="0"/>
                              <w:pageBreakBefore w:val="0"/>
                              <w:widowControl w:val="0"/>
                              <w:kinsoku/>
                              <w:wordWrap/>
                              <w:overflowPunct/>
                              <w:topLinePunct w:val="0"/>
                              <w:autoSpaceDE w:val="0"/>
                              <w:autoSpaceDN w:val="0"/>
                              <w:bidi w:val="0"/>
                              <w:adjustRightInd/>
                              <w:snapToGrid/>
                              <w:spacing w:before="0" w:line="240" w:lineRule="auto"/>
                              <w:ind w:left="0" w:right="0"/>
                              <w:jc w:val="both"/>
                              <w:textAlignment w:val="auto"/>
                              <w:rPr>
                                <w:sz w:val="21"/>
                                <w:szCs w:val="21"/>
                              </w:rPr>
                            </w:pPr>
                            <w:r>
                              <w:rPr>
                                <w:sz w:val="21"/>
                                <w:szCs w:val="21"/>
                              </w:rPr>
                              <w:t>准确及时披露经营状况和重大事项信息，提供合理投资回报遵循责任经营和责任投资的基本原则</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7" w:hRule="atLeast"/>
                        </w:trPr>
                        <w:tc>
                          <w:tcPr>
                            <w:tcW w:w="1980" w:type="dxa"/>
                            <w:vAlign w:val="center"/>
                          </w:tcPr>
                          <w:p>
                            <w:pPr>
                              <w:pStyle w:val="15"/>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jc w:val="center"/>
                              <w:textAlignment w:val="auto"/>
                              <w:rPr>
                                <w:rFonts w:ascii="宋体" w:hAnsi="宋体" w:eastAsia="宋体" w:cs="宋体"/>
                                <w:b/>
                                <w:bCs/>
                                <w:sz w:val="21"/>
                                <w:szCs w:val="21"/>
                                <w:lang w:val="zh-CN" w:eastAsia="zh-CN" w:bidi="zh-CN"/>
                              </w:rPr>
                            </w:pPr>
                            <w:r>
                              <w:rPr>
                                <w:b/>
                                <w:bCs/>
                                <w:sz w:val="21"/>
                                <w:szCs w:val="21"/>
                              </w:rPr>
                              <w:t>客 户</w:t>
                            </w:r>
                          </w:p>
                        </w:tc>
                        <w:tc>
                          <w:tcPr>
                            <w:tcW w:w="6396" w:type="dxa"/>
                            <w:vAlign w:val="center"/>
                          </w:tcPr>
                          <w:p>
                            <w:pPr>
                              <w:pStyle w:val="15"/>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jc w:val="both"/>
                              <w:textAlignment w:val="auto"/>
                              <w:rPr>
                                <w:rFonts w:ascii="宋体" w:hAnsi="宋体" w:eastAsia="宋体" w:cs="宋体"/>
                                <w:sz w:val="21"/>
                                <w:szCs w:val="21"/>
                                <w:lang w:val="zh-CN" w:eastAsia="zh-CN" w:bidi="zh-CN"/>
                              </w:rPr>
                            </w:pPr>
                            <w:r>
                              <w:rPr>
                                <w:sz w:val="21"/>
                                <w:szCs w:val="21"/>
                              </w:rPr>
                              <w:t>提供优质的产品和服务；产品具有安全性和便利性；持续提升客户满意度；及时合规的信息沟通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7" w:hRule="atLeast"/>
                        </w:trPr>
                        <w:tc>
                          <w:tcPr>
                            <w:tcW w:w="1980" w:type="dxa"/>
                            <w:vAlign w:val="center"/>
                          </w:tcPr>
                          <w:p>
                            <w:pPr>
                              <w:pStyle w:val="15"/>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jc w:val="center"/>
                              <w:textAlignment w:val="auto"/>
                              <w:rPr>
                                <w:rFonts w:ascii="宋体" w:hAnsi="宋体" w:eastAsia="宋体" w:cs="宋体"/>
                                <w:b/>
                                <w:bCs/>
                                <w:sz w:val="21"/>
                                <w:szCs w:val="21"/>
                                <w:lang w:val="zh-CN" w:eastAsia="zh-CN" w:bidi="zh-CN"/>
                              </w:rPr>
                            </w:pPr>
                            <w:r>
                              <w:rPr>
                                <w:b/>
                                <w:bCs/>
                                <w:sz w:val="21"/>
                                <w:szCs w:val="21"/>
                              </w:rPr>
                              <w:t>员 工</w:t>
                            </w:r>
                          </w:p>
                        </w:tc>
                        <w:tc>
                          <w:tcPr>
                            <w:tcW w:w="6396" w:type="dxa"/>
                            <w:vAlign w:val="center"/>
                          </w:tcPr>
                          <w:p>
                            <w:pPr>
                              <w:pStyle w:val="15"/>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jc w:val="both"/>
                              <w:textAlignment w:val="auto"/>
                              <w:rPr>
                                <w:rFonts w:ascii="宋体" w:hAnsi="宋体" w:eastAsia="宋体" w:cs="宋体"/>
                                <w:sz w:val="21"/>
                                <w:szCs w:val="21"/>
                                <w:lang w:val="zh-CN" w:eastAsia="zh-CN" w:bidi="zh-CN"/>
                              </w:rPr>
                            </w:pPr>
                            <w:r>
                              <w:rPr>
                                <w:sz w:val="21"/>
                                <w:szCs w:val="21"/>
                              </w:rPr>
                              <w:t>维护员工合法权益；创造良好的工作环境；给予合理的待遇提供教育和培训，为员工创造发展空间</w:t>
                            </w:r>
                          </w:p>
                        </w:tc>
                      </w:tr>
                    </w:tbl>
                    <w:p>
                      <w:pPr>
                        <w:pStyle w:val="4"/>
                        <w:ind w:left="0"/>
                        <w:rPr>
                          <w:highlight w:val="yellow"/>
                        </w:rPr>
                      </w:pPr>
                    </w:p>
                  </w:txbxContent>
                </v:textbox>
              </v:shape>
            </w:pict>
          </mc:Fallback>
        </mc:AlternateContent>
      </w:r>
      <w:r>
        <w:t>企业所有的利益相关者的利益都是通过企业共同愿景的实现来达成的。没有共同的愿景，缺乏共同的信念，就没有利益相关的前提。所以,认同共同的企业愿景和价值观，是建设和完善企业与利益方关系管理体系的前提和基础。</w:t>
      </w:r>
    </w:p>
    <w:p>
      <w:pPr>
        <w:spacing w:line="386" w:lineRule="auto"/>
        <w:jc w:val="both"/>
        <w:sectPr>
          <w:footerReference r:id="rId7" w:type="default"/>
          <w:pgSz w:w="11910" w:h="16840"/>
          <w:pgMar w:top="1420" w:right="1440" w:bottom="1380" w:left="1680" w:header="877" w:footer="1197" w:gutter="0"/>
          <w:pgBorders>
            <w:top w:val="none" w:sz="0" w:space="0"/>
            <w:left w:val="none" w:sz="0" w:space="0"/>
            <w:bottom w:val="none" w:sz="0" w:space="0"/>
            <w:right w:val="none" w:sz="0" w:space="0"/>
          </w:pgBorders>
          <w:pgNumType w:start="1"/>
          <w:cols w:space="720" w:num="1"/>
        </w:sectPr>
      </w:pPr>
    </w:p>
    <w:tbl>
      <w:tblPr>
        <w:tblStyle w:val="10"/>
        <w:tblW w:w="8376" w:type="dxa"/>
        <w:tblInd w:w="113"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980"/>
        <w:gridCol w:w="639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7" w:hRule="atLeast"/>
        </w:trPr>
        <w:tc>
          <w:tcPr>
            <w:tcW w:w="1980" w:type="dxa"/>
            <w:vAlign w:val="center"/>
          </w:tcPr>
          <w:p>
            <w:pPr>
              <w:pStyle w:val="15"/>
              <w:keepNext w:val="0"/>
              <w:keepLines w:val="0"/>
              <w:pageBreakBefore w:val="0"/>
              <w:widowControl w:val="0"/>
              <w:kinsoku/>
              <w:wordWrap/>
              <w:overflowPunct/>
              <w:topLinePunct w:val="0"/>
              <w:autoSpaceDE w:val="0"/>
              <w:autoSpaceDN w:val="0"/>
              <w:bidi w:val="0"/>
              <w:adjustRightInd/>
              <w:snapToGrid/>
              <w:spacing w:before="0" w:line="240" w:lineRule="auto"/>
              <w:ind w:left="0" w:right="0"/>
              <w:jc w:val="center"/>
              <w:textAlignment w:val="auto"/>
              <w:rPr>
                <w:b/>
                <w:bCs/>
                <w:sz w:val="21"/>
                <w:szCs w:val="21"/>
              </w:rPr>
            </w:pPr>
            <w:r>
              <w:rPr>
                <w:b/>
                <w:bCs/>
                <w:sz w:val="21"/>
                <w:szCs w:val="21"/>
              </w:rPr>
              <w:t>合作伙伴</w:t>
            </w:r>
          </w:p>
        </w:tc>
        <w:tc>
          <w:tcPr>
            <w:tcW w:w="6396" w:type="dxa"/>
            <w:vAlign w:val="center"/>
          </w:tcPr>
          <w:p>
            <w:pPr>
              <w:pStyle w:val="15"/>
              <w:keepNext w:val="0"/>
              <w:keepLines w:val="0"/>
              <w:pageBreakBefore w:val="0"/>
              <w:widowControl w:val="0"/>
              <w:kinsoku/>
              <w:wordWrap/>
              <w:overflowPunct/>
              <w:topLinePunct w:val="0"/>
              <w:autoSpaceDE w:val="0"/>
              <w:autoSpaceDN w:val="0"/>
              <w:bidi w:val="0"/>
              <w:adjustRightInd/>
              <w:snapToGrid/>
              <w:spacing w:before="0" w:line="240" w:lineRule="auto"/>
              <w:ind w:left="0" w:right="0"/>
              <w:jc w:val="both"/>
              <w:textAlignment w:val="auto"/>
              <w:rPr>
                <w:sz w:val="21"/>
                <w:szCs w:val="21"/>
              </w:rPr>
            </w:pPr>
            <w:r>
              <w:rPr>
                <w:sz w:val="21"/>
                <w:szCs w:val="21"/>
              </w:rPr>
              <w:t>实行公平采购；协助履行社会责任；建立相互尊重的合作关系；坚持诚实守信，维护企业的信誉</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7" w:hRule="atLeast"/>
        </w:trPr>
        <w:tc>
          <w:tcPr>
            <w:tcW w:w="1980" w:type="dxa"/>
            <w:vAlign w:val="center"/>
          </w:tcPr>
          <w:p>
            <w:pPr>
              <w:pStyle w:val="15"/>
              <w:keepNext w:val="0"/>
              <w:keepLines w:val="0"/>
              <w:pageBreakBefore w:val="0"/>
              <w:widowControl w:val="0"/>
              <w:kinsoku/>
              <w:wordWrap/>
              <w:overflowPunct/>
              <w:topLinePunct w:val="0"/>
              <w:autoSpaceDE w:val="0"/>
              <w:autoSpaceDN w:val="0"/>
              <w:bidi w:val="0"/>
              <w:adjustRightInd/>
              <w:snapToGrid/>
              <w:spacing w:before="0" w:line="240" w:lineRule="auto"/>
              <w:ind w:left="0" w:right="0"/>
              <w:jc w:val="center"/>
              <w:textAlignment w:val="auto"/>
              <w:rPr>
                <w:b/>
                <w:bCs/>
                <w:sz w:val="21"/>
                <w:szCs w:val="21"/>
              </w:rPr>
            </w:pPr>
            <w:r>
              <w:rPr>
                <w:b/>
                <w:bCs/>
                <w:sz w:val="21"/>
                <w:szCs w:val="21"/>
              </w:rPr>
              <w:t>政 府</w:t>
            </w:r>
          </w:p>
        </w:tc>
        <w:tc>
          <w:tcPr>
            <w:tcW w:w="6396" w:type="dxa"/>
            <w:vAlign w:val="center"/>
          </w:tcPr>
          <w:p>
            <w:pPr>
              <w:pStyle w:val="15"/>
              <w:keepNext w:val="0"/>
              <w:keepLines w:val="0"/>
              <w:pageBreakBefore w:val="0"/>
              <w:widowControl w:val="0"/>
              <w:kinsoku/>
              <w:wordWrap/>
              <w:overflowPunct/>
              <w:topLinePunct w:val="0"/>
              <w:autoSpaceDE w:val="0"/>
              <w:autoSpaceDN w:val="0"/>
              <w:bidi w:val="0"/>
              <w:adjustRightInd/>
              <w:snapToGrid/>
              <w:spacing w:before="0" w:line="240" w:lineRule="auto"/>
              <w:ind w:left="0" w:right="0"/>
              <w:jc w:val="both"/>
              <w:textAlignment w:val="auto"/>
              <w:rPr>
                <w:sz w:val="21"/>
                <w:szCs w:val="21"/>
              </w:rPr>
            </w:pPr>
            <w:r>
              <w:rPr>
                <w:sz w:val="21"/>
                <w:szCs w:val="21"/>
              </w:rPr>
              <w:t>依法纳税，提供就业机会，带动地方经济发展</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7" w:hRule="atLeast"/>
        </w:trPr>
        <w:tc>
          <w:tcPr>
            <w:tcW w:w="1980" w:type="dxa"/>
            <w:vAlign w:val="center"/>
          </w:tcPr>
          <w:p>
            <w:pPr>
              <w:pStyle w:val="15"/>
              <w:keepNext w:val="0"/>
              <w:keepLines w:val="0"/>
              <w:pageBreakBefore w:val="0"/>
              <w:widowControl w:val="0"/>
              <w:kinsoku/>
              <w:wordWrap/>
              <w:overflowPunct/>
              <w:topLinePunct w:val="0"/>
              <w:autoSpaceDE w:val="0"/>
              <w:autoSpaceDN w:val="0"/>
              <w:bidi w:val="0"/>
              <w:adjustRightInd/>
              <w:snapToGrid/>
              <w:spacing w:before="0" w:line="240" w:lineRule="auto"/>
              <w:ind w:left="0" w:right="0"/>
              <w:jc w:val="center"/>
              <w:textAlignment w:val="auto"/>
              <w:rPr>
                <w:b/>
                <w:bCs/>
                <w:sz w:val="21"/>
                <w:szCs w:val="21"/>
              </w:rPr>
            </w:pPr>
            <w:r>
              <w:rPr>
                <w:b/>
                <w:bCs/>
                <w:sz w:val="21"/>
                <w:szCs w:val="21"/>
              </w:rPr>
              <w:t>自然环境</w:t>
            </w:r>
          </w:p>
        </w:tc>
        <w:tc>
          <w:tcPr>
            <w:tcW w:w="6396" w:type="dxa"/>
            <w:vAlign w:val="center"/>
          </w:tcPr>
          <w:p>
            <w:pPr>
              <w:pStyle w:val="15"/>
              <w:keepNext w:val="0"/>
              <w:keepLines w:val="0"/>
              <w:pageBreakBefore w:val="0"/>
              <w:widowControl w:val="0"/>
              <w:kinsoku/>
              <w:wordWrap/>
              <w:overflowPunct/>
              <w:topLinePunct w:val="0"/>
              <w:autoSpaceDE w:val="0"/>
              <w:autoSpaceDN w:val="0"/>
              <w:bidi w:val="0"/>
              <w:adjustRightInd/>
              <w:snapToGrid/>
              <w:spacing w:before="0" w:line="240" w:lineRule="auto"/>
              <w:ind w:left="0" w:right="0"/>
              <w:jc w:val="both"/>
              <w:textAlignment w:val="auto"/>
              <w:rPr>
                <w:sz w:val="21"/>
                <w:szCs w:val="21"/>
              </w:rPr>
            </w:pPr>
            <w:r>
              <w:rPr>
                <w:sz w:val="21"/>
                <w:szCs w:val="21"/>
              </w:rPr>
              <w:t>推行绿色生产，实践环保经营，倡导节能减排，开展水资源保护，改善自然生态系统</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7" w:hRule="atLeast"/>
        </w:trPr>
        <w:tc>
          <w:tcPr>
            <w:tcW w:w="1980" w:type="dxa"/>
            <w:vAlign w:val="center"/>
          </w:tcPr>
          <w:p>
            <w:pPr>
              <w:pStyle w:val="15"/>
              <w:keepNext w:val="0"/>
              <w:keepLines w:val="0"/>
              <w:pageBreakBefore w:val="0"/>
              <w:widowControl w:val="0"/>
              <w:kinsoku/>
              <w:wordWrap/>
              <w:overflowPunct/>
              <w:topLinePunct w:val="0"/>
              <w:autoSpaceDE w:val="0"/>
              <w:autoSpaceDN w:val="0"/>
              <w:bidi w:val="0"/>
              <w:adjustRightInd/>
              <w:snapToGrid/>
              <w:spacing w:before="0" w:line="240" w:lineRule="auto"/>
              <w:ind w:left="0" w:right="0"/>
              <w:jc w:val="center"/>
              <w:textAlignment w:val="auto"/>
              <w:rPr>
                <w:b/>
                <w:bCs/>
                <w:sz w:val="21"/>
                <w:szCs w:val="21"/>
              </w:rPr>
            </w:pPr>
            <w:r>
              <w:rPr>
                <w:b/>
                <w:bCs/>
                <w:sz w:val="21"/>
                <w:szCs w:val="21"/>
              </w:rPr>
              <w:t>社区居民</w:t>
            </w:r>
          </w:p>
        </w:tc>
        <w:tc>
          <w:tcPr>
            <w:tcW w:w="6396" w:type="dxa"/>
            <w:vAlign w:val="center"/>
          </w:tcPr>
          <w:p>
            <w:pPr>
              <w:pStyle w:val="15"/>
              <w:keepNext w:val="0"/>
              <w:keepLines w:val="0"/>
              <w:pageBreakBefore w:val="0"/>
              <w:widowControl w:val="0"/>
              <w:kinsoku/>
              <w:wordWrap/>
              <w:overflowPunct/>
              <w:topLinePunct w:val="0"/>
              <w:autoSpaceDE w:val="0"/>
              <w:autoSpaceDN w:val="0"/>
              <w:bidi w:val="0"/>
              <w:adjustRightInd/>
              <w:snapToGrid/>
              <w:spacing w:before="0" w:line="240" w:lineRule="auto"/>
              <w:ind w:left="0" w:right="0"/>
              <w:jc w:val="both"/>
              <w:textAlignment w:val="auto"/>
              <w:rPr>
                <w:sz w:val="21"/>
                <w:szCs w:val="21"/>
              </w:rPr>
            </w:pPr>
            <w:r>
              <w:rPr>
                <w:sz w:val="21"/>
                <w:szCs w:val="21"/>
              </w:rPr>
              <w:t>参与社会公益活动，为社会可持续、和谐发展做贡献</w:t>
            </w:r>
          </w:p>
        </w:tc>
      </w:tr>
    </w:tbl>
    <w:p>
      <w:pPr>
        <w:pStyle w:val="4"/>
        <w:spacing w:before="10"/>
        <w:ind w:left="0"/>
        <w:rPr>
          <w:sz w:val="7"/>
        </w:rPr>
      </w:pPr>
    </w:p>
    <w:p>
      <w:pPr>
        <w:pStyle w:val="14"/>
        <w:keepNext w:val="0"/>
        <w:keepLines w:val="0"/>
        <w:pageBreakBefore w:val="0"/>
        <w:widowControl w:val="0"/>
        <w:numPr>
          <w:ilvl w:val="0"/>
          <w:numId w:val="0"/>
        </w:numPr>
        <w:tabs>
          <w:tab w:val="left" w:pos="600"/>
        </w:tabs>
        <w:kinsoku/>
        <w:wordWrap/>
        <w:overflowPunct/>
        <w:topLinePunct w:val="0"/>
        <w:autoSpaceDE w:val="0"/>
        <w:autoSpaceDN w:val="0"/>
        <w:bidi w:val="0"/>
        <w:adjustRightInd/>
        <w:snapToGrid/>
        <w:spacing w:before="0" w:line="360" w:lineRule="auto"/>
        <w:ind w:left="0" w:leftChars="0" w:right="0" w:firstLine="480" w:firstLineChars="200"/>
        <w:jc w:val="both"/>
        <w:textAlignment w:val="auto"/>
        <w:rPr>
          <w:sz w:val="24"/>
        </w:rPr>
      </w:pPr>
      <w:r>
        <w:rPr>
          <w:rFonts w:hint="eastAsia"/>
          <w:sz w:val="24"/>
          <w:lang w:val="en-US" w:eastAsia="zh-CN"/>
        </w:rPr>
        <w:t xml:space="preserve">1.2 </w:t>
      </w:r>
      <w:r>
        <w:rPr>
          <w:sz w:val="24"/>
        </w:rPr>
        <w:t>责任体系</w:t>
      </w:r>
    </w:p>
    <w:p>
      <w:pPr>
        <w:pStyle w:val="4"/>
        <w:keepNext w:val="0"/>
        <w:keepLines w:val="0"/>
        <w:pageBreakBefore w:val="0"/>
        <w:widowControl w:val="0"/>
        <w:kinsoku/>
        <w:wordWrap/>
        <w:overflowPunct/>
        <w:topLinePunct w:val="0"/>
        <w:autoSpaceDE w:val="0"/>
        <w:autoSpaceDN w:val="0"/>
        <w:bidi w:val="0"/>
        <w:adjustRightInd/>
        <w:snapToGrid/>
        <w:spacing w:line="360" w:lineRule="auto"/>
        <w:ind w:left="0" w:leftChars="0" w:right="0" w:firstLine="456" w:firstLineChars="200"/>
        <w:jc w:val="both"/>
        <w:textAlignment w:val="auto"/>
      </w:pPr>
      <w:r>
        <w:rPr>
          <w:spacing w:val="-6"/>
        </w:rPr>
        <w:t>对利益相关者的法律责任，这一责任主要包括企业根据《中华人民共和国公</w:t>
      </w:r>
      <w:r>
        <w:rPr>
          <w:spacing w:val="-13"/>
        </w:rPr>
        <w:t>司法》、 《中华人民共和国合同法》等法律法规，对出资人、债权人、供应商、</w:t>
      </w:r>
      <w:r>
        <w:rPr>
          <w:spacing w:val="-9"/>
        </w:rPr>
        <w:t>合作商、客户、社区及其它社会团体等所有利益相关者必须遵守各类合同，按照</w:t>
      </w:r>
      <w:r>
        <w:rPr>
          <w:spacing w:val="-14"/>
        </w:rPr>
        <w:t>法律规定进行利益分配，为社会提供最基本的产品和服务质量保证，不损害企业所在社区的合法权益，不影响其它社会团体的利益等内容。</w:t>
      </w:r>
    </w:p>
    <w:p>
      <w:pPr>
        <w:pStyle w:val="4"/>
        <w:keepNext w:val="0"/>
        <w:keepLines w:val="0"/>
        <w:pageBreakBefore w:val="0"/>
        <w:widowControl w:val="0"/>
        <w:kinsoku/>
        <w:wordWrap/>
        <w:overflowPunct/>
        <w:topLinePunct w:val="0"/>
        <w:autoSpaceDE w:val="0"/>
        <w:autoSpaceDN w:val="0"/>
        <w:bidi w:val="0"/>
        <w:adjustRightInd/>
        <w:snapToGrid/>
        <w:spacing w:line="360" w:lineRule="auto"/>
        <w:ind w:left="0" w:leftChars="0" w:right="0" w:firstLine="448" w:firstLineChars="200"/>
        <w:jc w:val="both"/>
        <w:textAlignment w:val="auto"/>
      </w:pPr>
      <w:r>
        <w:rPr>
          <w:spacing w:val="-8"/>
        </w:rPr>
        <w:t>对环境的法律责任，这一责任主要包括企业根据《中华人民共和国环境保护</w:t>
      </w:r>
      <w:r>
        <w:rPr>
          <w:spacing w:val="-10"/>
        </w:rPr>
        <w:t xml:space="preserve">法》等法律法规，在生产经营活动中必须履行资源和能耗的节约标准，必须达到 </w:t>
      </w:r>
      <w:r>
        <w:rPr>
          <w:spacing w:val="-16"/>
        </w:rPr>
        <w:t xml:space="preserve">国家强制规定的污染排放标准，对不能达标的项目必须加强技术改造和污染治理， </w:t>
      </w:r>
      <w:r>
        <w:t>努力达到国家规定的各项环保标准等内容。</w:t>
      </w:r>
    </w:p>
    <w:p>
      <w:pPr>
        <w:pStyle w:val="4"/>
        <w:keepNext w:val="0"/>
        <w:keepLines w:val="0"/>
        <w:pageBreakBefore w:val="0"/>
        <w:widowControl w:val="0"/>
        <w:kinsoku/>
        <w:wordWrap/>
        <w:overflowPunct/>
        <w:topLinePunct w:val="0"/>
        <w:autoSpaceDE w:val="0"/>
        <w:autoSpaceDN w:val="0"/>
        <w:bidi w:val="0"/>
        <w:adjustRightInd/>
        <w:snapToGrid/>
        <w:spacing w:line="360" w:lineRule="auto"/>
        <w:ind w:left="0" w:leftChars="0" w:right="0" w:firstLine="444" w:firstLineChars="200"/>
        <w:jc w:val="both"/>
        <w:textAlignment w:val="auto"/>
      </w:pPr>
      <w:r>
        <w:rPr>
          <w:spacing w:val="-9"/>
        </w:rPr>
        <w:t>对员工的法律责任，这一责任主要包括企业根据《中华人民共和国劳动合同</w:t>
      </w:r>
      <w:r>
        <w:rPr>
          <w:spacing w:val="-12"/>
        </w:rPr>
        <w:t>法》等法律法规，必须为员工生产提供安全保障，必须按照国家政策保证员工的</w:t>
      </w:r>
      <w:r>
        <w:rPr>
          <w:spacing w:val="-8"/>
        </w:rPr>
        <w:t>各项福利待遇，必须为员工办理各种国家所规定的生育、失业、养老、疾病等基</w:t>
      </w:r>
      <w:r>
        <w:t>本社会保险等内容。</w:t>
      </w:r>
    </w:p>
    <w:p>
      <w:pPr>
        <w:pStyle w:val="4"/>
        <w:keepNext w:val="0"/>
        <w:keepLines w:val="0"/>
        <w:pageBreakBefore w:val="0"/>
        <w:widowControl w:val="0"/>
        <w:kinsoku/>
        <w:wordWrap/>
        <w:overflowPunct/>
        <w:topLinePunct w:val="0"/>
        <w:autoSpaceDE w:val="0"/>
        <w:autoSpaceDN w:val="0"/>
        <w:bidi w:val="0"/>
        <w:adjustRightInd/>
        <w:snapToGrid/>
        <w:spacing w:line="360" w:lineRule="auto"/>
        <w:ind w:left="0" w:leftChars="0" w:right="0" w:firstLine="444" w:firstLineChars="200"/>
        <w:jc w:val="both"/>
        <w:textAlignment w:val="auto"/>
      </w:pPr>
      <w:r>
        <w:rPr>
          <w:spacing w:val="-9"/>
        </w:rPr>
        <w:t>对社会的法律责任，这一责任主要包括企业根据《中华人民共和国企业所得</w:t>
      </w:r>
      <w:r>
        <w:rPr>
          <w:spacing w:val="-21"/>
        </w:rPr>
        <w:t>税法》、《中华人民共和国增值税暂行条例》等法律法规，必须完成所得税、增值</w:t>
      </w:r>
      <w:r>
        <w:t>税等各种利税上缴等责任。</w:t>
      </w:r>
    </w:p>
    <w:p>
      <w:r>
        <w:br w:type="page"/>
      </w:r>
    </w:p>
    <w:p>
      <w:pPr>
        <w:pStyle w:val="4"/>
        <w:spacing w:before="166" w:line="386" w:lineRule="auto"/>
        <w:ind w:right="360" w:firstLine="480"/>
        <w:jc w:val="both"/>
      </w:pPr>
    </w:p>
    <w:p>
      <w:pPr>
        <w:pStyle w:val="3"/>
        <w:keepNext w:val="0"/>
        <w:keepLines w:val="0"/>
        <w:pageBreakBefore w:val="0"/>
        <w:widowControl w:val="0"/>
        <w:kinsoku/>
        <w:wordWrap/>
        <w:overflowPunct/>
        <w:topLinePunct w:val="0"/>
        <w:autoSpaceDE w:val="0"/>
        <w:autoSpaceDN w:val="0"/>
        <w:bidi w:val="0"/>
        <w:adjustRightInd/>
        <w:snapToGrid/>
        <w:spacing w:line="360" w:lineRule="auto"/>
        <w:ind w:left="0" w:right="0" w:firstLine="562" w:firstLineChars="200"/>
        <w:textAlignment w:val="auto"/>
        <w:rPr>
          <w:b/>
          <w:bCs/>
        </w:rPr>
      </w:pPr>
      <w:bookmarkStart w:id="3" w:name="二、战略与管理"/>
      <w:bookmarkEnd w:id="3"/>
      <w:bookmarkStart w:id="4" w:name="_Toc24531706"/>
      <w:r>
        <w:rPr>
          <w:b/>
          <w:bCs/>
        </w:rPr>
        <w:t>二、战略与管理</w:t>
      </w:r>
      <w:bookmarkEnd w:id="4"/>
    </w:p>
    <w:p>
      <w:pPr>
        <w:pStyle w:val="4"/>
        <w:keepNext w:val="0"/>
        <w:keepLines w:val="0"/>
        <w:pageBreakBefore w:val="0"/>
        <w:widowControl w:val="0"/>
        <w:kinsoku/>
        <w:wordWrap/>
        <w:overflowPunct/>
        <w:topLinePunct w:val="0"/>
        <w:autoSpaceDE w:val="0"/>
        <w:autoSpaceDN w:val="0"/>
        <w:bidi w:val="0"/>
        <w:adjustRightInd/>
        <w:snapToGrid/>
        <w:spacing w:line="360" w:lineRule="auto"/>
        <w:ind w:left="0" w:right="0" w:firstLine="480" w:firstLineChars="200"/>
        <w:jc w:val="both"/>
        <w:textAlignment w:val="auto"/>
      </w:pPr>
      <w:r>
        <w:rPr>
          <w:rFonts w:hint="eastAsia"/>
          <w:lang w:val="en-US" w:eastAsia="zh-CN"/>
        </w:rPr>
        <w:t>1、</w:t>
      </w:r>
      <w:r>
        <w:rPr>
          <w:rFonts w:hint="eastAsia"/>
        </w:rPr>
        <w:t>构建独具特色的企业文化并向相关方沟通宣贯</w:t>
      </w:r>
    </w:p>
    <w:p>
      <w:pPr>
        <w:pStyle w:val="4"/>
        <w:keepNext w:val="0"/>
        <w:keepLines w:val="0"/>
        <w:pageBreakBefore w:val="0"/>
        <w:widowControl w:val="0"/>
        <w:kinsoku/>
        <w:wordWrap/>
        <w:overflowPunct/>
        <w:topLinePunct w:val="0"/>
        <w:autoSpaceDE w:val="0"/>
        <w:autoSpaceDN w:val="0"/>
        <w:bidi w:val="0"/>
        <w:adjustRightInd/>
        <w:snapToGrid/>
        <w:spacing w:line="360" w:lineRule="auto"/>
        <w:ind w:left="0" w:right="0" w:firstLine="480" w:firstLineChars="200"/>
        <w:jc w:val="both"/>
        <w:textAlignment w:val="auto"/>
      </w:pPr>
      <w:r>
        <w:rPr>
          <w:rFonts w:hint="eastAsia"/>
        </w:rPr>
        <w:t>企业文化是企业的思维方式和行事准则，是企业个性化的体现。它是植根于企业内部的精神载体，可以促进组织的管理发展，增强企业凝聚力，是一个企业的旗帜、灵魂和方向。从成立之初，随着企业的创立、成长与发展，</w:t>
      </w:r>
      <w:r>
        <w:rPr>
          <w:rFonts w:hint="eastAsia"/>
          <w:lang w:val="en-US" w:eastAsia="zh-CN"/>
        </w:rPr>
        <w:t>南腾</w:t>
      </w:r>
      <w:r>
        <w:rPr>
          <w:rFonts w:hint="eastAsia"/>
          <w:lang w:val="en-US"/>
        </w:rPr>
        <w:t>已</w:t>
      </w:r>
      <w:r>
        <w:rPr>
          <w:rFonts w:hint="eastAsia"/>
        </w:rPr>
        <w:t>逐步形成了其独具特色的企业文化体系。</w:t>
      </w:r>
    </w:p>
    <w:p>
      <w:pPr>
        <w:pStyle w:val="4"/>
        <w:keepNext w:val="0"/>
        <w:keepLines w:val="0"/>
        <w:pageBreakBefore w:val="0"/>
        <w:widowControl w:val="0"/>
        <w:kinsoku/>
        <w:wordWrap/>
        <w:overflowPunct/>
        <w:topLinePunct w:val="0"/>
        <w:autoSpaceDE w:val="0"/>
        <w:autoSpaceDN w:val="0"/>
        <w:bidi w:val="0"/>
        <w:adjustRightInd/>
        <w:snapToGrid/>
        <w:spacing w:line="360" w:lineRule="auto"/>
        <w:ind w:left="0" w:right="0" w:firstLine="480" w:firstLineChars="200"/>
        <w:jc w:val="both"/>
        <w:textAlignment w:val="auto"/>
      </w:pPr>
      <w:r>
        <w:rPr>
          <w:rFonts w:hint="eastAsia"/>
        </w:rPr>
        <w:t>1）确立以使命、愿景和价值观为和核心的文化</w:t>
      </w:r>
    </w:p>
    <w:p>
      <w:pPr>
        <w:keepNext w:val="0"/>
        <w:keepLines w:val="0"/>
        <w:pageBreakBefore w:val="0"/>
        <w:widowControl w:val="0"/>
        <w:kinsoku/>
        <w:wordWrap/>
        <w:overflowPunct/>
        <w:topLinePunct w:val="0"/>
        <w:autoSpaceDE w:val="0"/>
        <w:autoSpaceDN w:val="0"/>
        <w:bidi w:val="0"/>
        <w:adjustRightInd/>
        <w:snapToGrid/>
        <w:spacing w:line="360" w:lineRule="auto"/>
        <w:ind w:left="0" w:right="0" w:firstLine="480" w:firstLineChars="200"/>
        <w:textAlignment w:val="auto"/>
        <w:rPr>
          <w:sz w:val="24"/>
          <w:szCs w:val="24"/>
          <w:highlight w:val="none"/>
          <w:lang w:val="en-US"/>
        </w:rPr>
      </w:pPr>
      <w:r>
        <w:rPr>
          <w:rFonts w:hint="eastAsia"/>
          <w:sz w:val="24"/>
          <w:szCs w:val="24"/>
          <w:highlight w:val="none"/>
          <w:lang w:val="en-US"/>
        </w:rPr>
        <w:t>通过对市场进行详细调查，于</w:t>
      </w:r>
      <w:r>
        <w:rPr>
          <w:rFonts w:hint="eastAsia"/>
          <w:sz w:val="24"/>
          <w:szCs w:val="24"/>
          <w:highlight w:val="none"/>
          <w:lang w:val="en-US" w:eastAsia="zh-CN"/>
        </w:rPr>
        <w:t>2010</w:t>
      </w:r>
      <w:r>
        <w:rPr>
          <w:rFonts w:hint="eastAsia"/>
          <w:sz w:val="24"/>
          <w:szCs w:val="24"/>
          <w:highlight w:val="none"/>
          <w:lang w:val="en-US"/>
        </w:rPr>
        <w:t>年在</w:t>
      </w:r>
      <w:r>
        <w:rPr>
          <w:rFonts w:hint="eastAsia"/>
          <w:sz w:val="24"/>
          <w:szCs w:val="24"/>
          <w:highlight w:val="none"/>
          <w:lang w:val="en-US" w:eastAsia="zh-CN"/>
        </w:rPr>
        <w:t>浙江省乐清市乐清经济开发区伟十二路202号</w:t>
      </w:r>
      <w:r>
        <w:rPr>
          <w:rFonts w:hint="eastAsia"/>
          <w:sz w:val="24"/>
          <w:szCs w:val="24"/>
          <w:highlight w:val="none"/>
          <w:lang w:val="en-US"/>
        </w:rPr>
        <w:t>成立</w:t>
      </w:r>
      <w:r>
        <w:rPr>
          <w:rFonts w:hint="eastAsia"/>
          <w:sz w:val="24"/>
          <w:szCs w:val="24"/>
          <w:highlight w:val="none"/>
          <w:lang w:val="en-US" w:eastAsia="zh-CN"/>
        </w:rPr>
        <w:t>浙江南腾电气有限公司</w:t>
      </w:r>
      <w:r>
        <w:rPr>
          <w:rFonts w:hint="eastAsia"/>
          <w:sz w:val="24"/>
          <w:szCs w:val="24"/>
          <w:highlight w:val="none"/>
          <w:lang w:val="en-US"/>
        </w:rPr>
        <w:t>，专业从事</w:t>
      </w:r>
      <w:r>
        <w:rPr>
          <w:rFonts w:hint="eastAsia"/>
          <w:sz w:val="24"/>
          <w:szCs w:val="24"/>
          <w:highlight w:val="none"/>
          <w:lang w:val="en-US" w:eastAsia="zh-CN"/>
        </w:rPr>
        <w:t>生产高、低压成套开关设备、电缆分支箱、综合配电箱、高压开关、电表箱、变压器的现代化高新技术企业</w:t>
      </w:r>
      <w:r>
        <w:rPr>
          <w:rFonts w:hint="eastAsia"/>
          <w:sz w:val="24"/>
          <w:szCs w:val="24"/>
          <w:highlight w:val="none"/>
          <w:lang w:val="en-US"/>
        </w:rPr>
        <w:t>。公司</w:t>
      </w:r>
      <w:r>
        <w:rPr>
          <w:rFonts w:hint="eastAsia"/>
          <w:sz w:val="24"/>
          <w:szCs w:val="24"/>
          <w:highlight w:val="none"/>
          <w:lang w:val="en-US" w:eastAsia="zh-CN"/>
        </w:rPr>
        <w:t>先后</w:t>
      </w:r>
      <w:r>
        <w:rPr>
          <w:rFonts w:hint="eastAsia"/>
          <w:sz w:val="24"/>
          <w:szCs w:val="24"/>
          <w:highlight w:val="none"/>
          <w:lang w:val="en-US"/>
        </w:rPr>
        <w:t>通过质量管理体系、环境管理体系和职业健康安全管理体系认证，一直保持体系运行，每年接受认证机构的监督审核；经过多年的体系运行，在内部管理方面日益提高。</w:t>
      </w:r>
    </w:p>
    <w:p>
      <w:pPr>
        <w:keepNext w:val="0"/>
        <w:keepLines w:val="0"/>
        <w:pageBreakBefore w:val="0"/>
        <w:widowControl w:val="0"/>
        <w:kinsoku/>
        <w:wordWrap/>
        <w:overflowPunct/>
        <w:topLinePunct w:val="0"/>
        <w:autoSpaceDE w:val="0"/>
        <w:autoSpaceDN w:val="0"/>
        <w:bidi w:val="0"/>
        <w:adjustRightInd/>
        <w:snapToGrid/>
        <w:spacing w:line="360" w:lineRule="auto"/>
        <w:ind w:left="0" w:right="0" w:firstLine="480" w:firstLineChars="200"/>
        <w:textAlignment w:val="auto"/>
        <w:rPr>
          <w:rFonts w:hint="eastAsia" w:ascii="宋体" w:hAnsi="宋体" w:eastAsia="宋体" w:cs="宋体"/>
          <w:sz w:val="24"/>
          <w:highlight w:val="none"/>
          <w:lang w:val="en-US" w:eastAsia="zh-CN"/>
        </w:rPr>
      </w:pPr>
      <w:r>
        <w:rPr>
          <w:rFonts w:hint="eastAsia"/>
          <w:sz w:val="24"/>
          <w:szCs w:val="24"/>
          <w:highlight w:val="none"/>
          <w:lang w:val="en-US"/>
        </w:rPr>
        <w:t>公司自</w:t>
      </w:r>
      <w:r>
        <w:rPr>
          <w:rFonts w:hint="eastAsia" w:ascii="宋体" w:hAnsi="宋体" w:eastAsia="宋体" w:cs="宋体"/>
          <w:sz w:val="24"/>
          <w:highlight w:val="none"/>
          <w:lang w:val="en-US" w:eastAsia="zh-CN"/>
        </w:rPr>
        <w:t>创建以来</w:t>
      </w:r>
      <w:r>
        <w:rPr>
          <w:rFonts w:hint="eastAsia" w:ascii="宋体" w:hAnsi="宋体" w:eastAsia="宋体" w:cs="宋体"/>
          <w:sz w:val="24"/>
          <w:highlight w:val="none"/>
          <w:lang w:eastAsia="zh-CN"/>
        </w:rPr>
        <w:t>专注</w:t>
      </w:r>
      <w:r>
        <w:rPr>
          <w:rFonts w:hint="eastAsia" w:ascii="宋体" w:hAnsi="宋体" w:eastAsia="宋体" w:cs="宋体"/>
          <w:sz w:val="24"/>
          <w:highlight w:val="none"/>
          <w:lang w:val="en-US" w:eastAsia="zh-CN"/>
        </w:rPr>
        <w:t>于电气安全、教育医疗、酒店公寓、石油化工、工矿企业、交通运输、市府工程、建筑工程</w:t>
      </w:r>
      <w:r>
        <w:rPr>
          <w:rFonts w:hint="eastAsia" w:ascii="宋体" w:hAnsi="宋体" w:eastAsia="宋体" w:cs="宋体"/>
          <w:sz w:val="24"/>
          <w:highlight w:val="none"/>
          <w:lang w:eastAsia="zh-CN"/>
        </w:rPr>
        <w:t>的生产和服务，积极挖掘行业优势和自身潜能，探索</w:t>
      </w:r>
      <w:r>
        <w:rPr>
          <w:rFonts w:hint="eastAsia" w:cs="宋体"/>
          <w:sz w:val="24"/>
          <w:highlight w:val="none"/>
          <w:lang w:val="en-US" w:eastAsia="zh-CN"/>
        </w:rPr>
        <w:t>电气</w:t>
      </w:r>
      <w:r>
        <w:rPr>
          <w:rFonts w:hint="eastAsia" w:ascii="宋体" w:hAnsi="宋体" w:eastAsia="宋体" w:cs="宋体"/>
          <w:sz w:val="24"/>
          <w:highlight w:val="none"/>
          <w:lang w:eastAsia="zh-CN"/>
        </w:rPr>
        <w:t>类各种功能，解决客户的各种疑虑或后顾之忧，做到专业、专注、超值，致力把“</w:t>
      </w:r>
      <w:r>
        <w:rPr>
          <w:rFonts w:hint="eastAsia" w:ascii="宋体" w:hAnsi="宋体" w:eastAsia="宋体" w:cs="宋体"/>
          <w:sz w:val="24"/>
          <w:highlight w:val="none"/>
          <w:lang w:val="en-US" w:eastAsia="zh-CN"/>
        </w:rPr>
        <w:t>南腾</w:t>
      </w:r>
      <w:r>
        <w:rPr>
          <w:rFonts w:hint="eastAsia" w:ascii="宋体" w:hAnsi="宋体" w:eastAsia="宋体" w:cs="宋体"/>
          <w:sz w:val="24"/>
          <w:highlight w:val="none"/>
          <w:lang w:eastAsia="zh-CN"/>
        </w:rPr>
        <w:t>”打造成</w:t>
      </w:r>
      <w:r>
        <w:rPr>
          <w:rFonts w:hint="eastAsia" w:cs="宋体"/>
          <w:sz w:val="24"/>
          <w:highlight w:val="none"/>
          <w:lang w:eastAsia="zh-CN"/>
        </w:rPr>
        <w:t>低高压电气采购首选的放心企业</w:t>
      </w:r>
      <w:r>
        <w:rPr>
          <w:rFonts w:hint="eastAsia" w:ascii="宋体" w:hAnsi="宋体" w:eastAsia="宋体" w:cs="宋体"/>
          <w:sz w:val="24"/>
          <w:highlight w:val="none"/>
          <w:lang w:eastAsia="zh-CN"/>
        </w:rPr>
        <w:t>。</w:t>
      </w:r>
    </w:p>
    <w:p>
      <w:pPr>
        <w:keepNext w:val="0"/>
        <w:keepLines w:val="0"/>
        <w:pageBreakBefore w:val="0"/>
        <w:widowControl w:val="0"/>
        <w:kinsoku/>
        <w:wordWrap/>
        <w:overflowPunct/>
        <w:topLinePunct w:val="0"/>
        <w:autoSpaceDE w:val="0"/>
        <w:autoSpaceDN w:val="0"/>
        <w:bidi w:val="0"/>
        <w:adjustRightInd/>
        <w:snapToGrid/>
        <w:spacing w:line="360" w:lineRule="auto"/>
        <w:ind w:left="0" w:right="0" w:firstLine="480" w:firstLineChars="200"/>
        <w:textAlignment w:val="auto"/>
        <w:rPr>
          <w:sz w:val="24"/>
          <w:szCs w:val="24"/>
          <w:lang w:val="en-US"/>
        </w:rPr>
      </w:pPr>
      <w:r>
        <w:rPr>
          <w:rFonts w:hint="eastAsia"/>
          <w:sz w:val="24"/>
          <w:szCs w:val="24"/>
          <w:lang w:val="en-US"/>
        </w:rPr>
        <w:t>公司经过多年的运营，积累了较多的管理经验，培养了一批专业的管理人员、设计人员和操作能手，产品质量稳定，在顾客群中有较高的认可度。</w:t>
      </w:r>
    </w:p>
    <w:p>
      <w:pPr>
        <w:keepNext w:val="0"/>
        <w:keepLines w:val="0"/>
        <w:pageBreakBefore w:val="0"/>
        <w:widowControl w:val="0"/>
        <w:kinsoku/>
        <w:wordWrap/>
        <w:overflowPunct/>
        <w:topLinePunct w:val="0"/>
        <w:autoSpaceDE w:val="0"/>
        <w:autoSpaceDN w:val="0"/>
        <w:bidi w:val="0"/>
        <w:adjustRightInd/>
        <w:snapToGrid/>
        <w:spacing w:line="360" w:lineRule="auto"/>
        <w:ind w:left="0" w:right="0" w:firstLine="480" w:firstLineChars="200"/>
        <w:textAlignment w:val="auto"/>
        <w:rPr>
          <w:rFonts w:hint="eastAsia"/>
          <w:sz w:val="24"/>
          <w:szCs w:val="24"/>
          <w:lang w:val="en-US"/>
        </w:rPr>
      </w:pPr>
      <w:r>
        <w:rPr>
          <w:rFonts w:hint="eastAsia"/>
          <w:sz w:val="24"/>
          <w:szCs w:val="24"/>
          <w:lang w:val="en-US" w:eastAsia="zh-CN"/>
        </w:rPr>
        <w:t>南腾</w:t>
      </w:r>
      <w:r>
        <w:rPr>
          <w:rFonts w:hint="eastAsia"/>
          <w:sz w:val="24"/>
          <w:szCs w:val="24"/>
          <w:lang w:val="en-US"/>
        </w:rPr>
        <w:t>自创立以来，基于行业特点及企业发展逐步凝练了核心价值观，并随着公司的发展而不断调整和提升，最终提炼形成了公司的核心价值理念体系。</w:t>
      </w:r>
    </w:p>
    <w:p>
      <w:pPr>
        <w:pStyle w:val="4"/>
        <w:spacing w:before="166" w:line="386" w:lineRule="auto"/>
        <w:ind w:right="359" w:firstLine="480"/>
        <w:jc w:val="center"/>
        <w:rPr>
          <w:rFonts w:hint="eastAsia"/>
          <w:sz w:val="21"/>
          <w:szCs w:val="21"/>
          <w:lang w:val="en-US"/>
        </w:rPr>
      </w:pPr>
      <w:r>
        <w:rPr>
          <w:rFonts w:hint="eastAsia"/>
          <w:sz w:val="21"/>
          <w:szCs w:val="21"/>
        </w:rPr>
        <w:t>表</w:t>
      </w:r>
      <w:r>
        <w:rPr>
          <w:rFonts w:hint="eastAsia"/>
          <w:sz w:val="21"/>
          <w:szCs w:val="21"/>
          <w:lang w:val="en-US"/>
        </w:rPr>
        <w:t>2</w:t>
      </w:r>
      <w:r>
        <w:rPr>
          <w:rFonts w:hint="eastAsia"/>
          <w:sz w:val="21"/>
          <w:szCs w:val="21"/>
        </w:rPr>
        <w:t>.1-</w:t>
      </w:r>
      <w:r>
        <w:rPr>
          <w:rFonts w:hint="eastAsia"/>
          <w:sz w:val="21"/>
          <w:szCs w:val="21"/>
          <w:lang w:val="en-US"/>
        </w:rPr>
        <w:t>1</w:t>
      </w:r>
      <w:r>
        <w:rPr>
          <w:rFonts w:hint="eastAsia"/>
          <w:sz w:val="21"/>
          <w:szCs w:val="21"/>
        </w:rPr>
        <w:t xml:space="preserve"> 企业文化体系</w:t>
      </w:r>
    </w:p>
    <w:tbl>
      <w:tblPr>
        <w:tblStyle w:val="10"/>
        <w:tblW w:w="8906" w:type="dxa"/>
        <w:tblInd w:w="-11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98"/>
        <w:gridCol w:w="720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1" w:hRule="atLeast"/>
        </w:trPr>
        <w:tc>
          <w:tcPr>
            <w:tcW w:w="1698" w:type="dxa"/>
            <w:shd w:val="clear" w:color="auto" w:fill="4472C4"/>
            <w:vAlign w:val="center"/>
          </w:tcPr>
          <w:p>
            <w:pPr>
              <w:jc w:val="center"/>
              <w:rPr>
                <w:rFonts w:ascii="Arial" w:hAnsi="Arial"/>
                <w:b/>
                <w:bCs/>
                <w:color w:val="000000"/>
                <w:sz w:val="21"/>
                <w:szCs w:val="21"/>
              </w:rPr>
            </w:pPr>
            <w:r>
              <w:rPr>
                <w:rFonts w:hint="eastAsia" w:ascii="Arial" w:hAnsi="Arial"/>
                <w:b/>
                <w:bCs/>
                <w:color w:val="000000"/>
                <w:sz w:val="21"/>
                <w:szCs w:val="21"/>
              </w:rPr>
              <w:t>文化构成</w:t>
            </w:r>
          </w:p>
        </w:tc>
        <w:tc>
          <w:tcPr>
            <w:tcW w:w="7208" w:type="dxa"/>
            <w:shd w:val="clear" w:color="auto" w:fill="4472C4"/>
            <w:vAlign w:val="center"/>
          </w:tcPr>
          <w:p>
            <w:pPr>
              <w:jc w:val="center"/>
              <w:rPr>
                <w:rFonts w:ascii="Arial" w:hAnsi="Arial"/>
                <w:b/>
                <w:bCs/>
                <w:color w:val="000000"/>
                <w:sz w:val="21"/>
                <w:szCs w:val="21"/>
              </w:rPr>
            </w:pPr>
            <w:r>
              <w:rPr>
                <w:rFonts w:hint="eastAsia" w:ascii="Arial" w:hAnsi="Arial"/>
                <w:b/>
                <w:bCs/>
                <w:color w:val="000000"/>
                <w:sz w:val="21"/>
                <w:szCs w:val="21"/>
              </w:rPr>
              <w:t>表述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9" w:hRule="atLeast"/>
        </w:trPr>
        <w:tc>
          <w:tcPr>
            <w:tcW w:w="1698" w:type="dxa"/>
            <w:shd w:val="clear" w:color="auto" w:fill="auto"/>
            <w:vAlign w:val="center"/>
          </w:tcPr>
          <w:p>
            <w:pPr>
              <w:jc w:val="center"/>
              <w:rPr>
                <w:rFonts w:ascii="Arial" w:hAnsi="Arial"/>
                <w:b/>
                <w:bCs/>
                <w:color w:val="000000"/>
                <w:sz w:val="21"/>
                <w:szCs w:val="21"/>
              </w:rPr>
            </w:pPr>
            <w:r>
              <w:rPr>
                <w:rFonts w:hint="eastAsia" w:ascii="Arial" w:hAnsi="Arial"/>
                <w:b/>
                <w:bCs/>
                <w:color w:val="000000"/>
                <w:sz w:val="21"/>
                <w:szCs w:val="21"/>
              </w:rPr>
              <w:t>使命</w:t>
            </w:r>
          </w:p>
        </w:tc>
        <w:tc>
          <w:tcPr>
            <w:tcW w:w="7208" w:type="dxa"/>
            <w:shd w:val="clear" w:color="auto" w:fill="auto"/>
            <w:vAlign w:val="center"/>
          </w:tcPr>
          <w:p>
            <w:pPr>
              <w:spacing w:line="240" w:lineRule="auto"/>
              <w:jc w:val="center"/>
              <w:rPr>
                <w:rFonts w:ascii="Arial" w:hAnsi="Arial"/>
                <w:color w:val="000000"/>
                <w:sz w:val="21"/>
                <w:szCs w:val="21"/>
                <w:highlight w:val="yellow"/>
              </w:rPr>
            </w:pPr>
            <w:r>
              <w:rPr>
                <w:rFonts w:hint="eastAsia" w:cs="宋体"/>
                <w:i w:val="0"/>
                <w:iCs w:val="0"/>
                <w:color w:val="auto"/>
                <w:kern w:val="0"/>
                <w:sz w:val="21"/>
                <w:szCs w:val="21"/>
                <w:u w:val="none"/>
                <w:lang w:val="en-US" w:eastAsia="zh-CN" w:bidi="ar"/>
              </w:rPr>
              <w:t>引领智能电气前进方向，创新智能电气发展道路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trPr>
        <w:tc>
          <w:tcPr>
            <w:tcW w:w="1698" w:type="dxa"/>
            <w:shd w:val="clear" w:color="auto" w:fill="auto"/>
            <w:vAlign w:val="center"/>
          </w:tcPr>
          <w:p>
            <w:pPr>
              <w:jc w:val="center"/>
              <w:rPr>
                <w:rFonts w:ascii="Arial" w:hAnsi="Arial"/>
                <w:b/>
                <w:bCs/>
                <w:color w:val="000000"/>
                <w:sz w:val="21"/>
                <w:szCs w:val="21"/>
              </w:rPr>
            </w:pPr>
            <w:r>
              <w:rPr>
                <w:rFonts w:hint="eastAsia" w:ascii="Arial" w:hAnsi="Arial"/>
                <w:b/>
                <w:bCs/>
                <w:color w:val="000000"/>
                <w:sz w:val="21"/>
                <w:szCs w:val="21"/>
              </w:rPr>
              <w:t>愿景</w:t>
            </w:r>
          </w:p>
        </w:tc>
        <w:tc>
          <w:tcPr>
            <w:tcW w:w="7208" w:type="dxa"/>
            <w:shd w:val="clear" w:color="auto" w:fill="auto"/>
            <w:vAlign w:val="center"/>
          </w:tcPr>
          <w:p>
            <w:pPr>
              <w:spacing w:line="240" w:lineRule="auto"/>
              <w:jc w:val="center"/>
              <w:rPr>
                <w:rFonts w:ascii="Arial" w:hAnsi="Arial"/>
                <w:color w:val="000000"/>
                <w:sz w:val="21"/>
                <w:szCs w:val="21"/>
                <w:highlight w:val="yellow"/>
              </w:rPr>
            </w:pPr>
            <w:r>
              <w:rPr>
                <w:rFonts w:hint="eastAsia" w:cs="宋体"/>
                <w:i w:val="0"/>
                <w:iCs w:val="0"/>
                <w:color w:val="auto"/>
                <w:kern w:val="0"/>
                <w:sz w:val="21"/>
                <w:szCs w:val="21"/>
                <w:u w:val="none"/>
                <w:lang w:val="en-US" w:eastAsia="zh-CN" w:bidi="ar"/>
              </w:rPr>
              <w:t>共创百年企业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9" w:hRule="atLeast"/>
        </w:trPr>
        <w:tc>
          <w:tcPr>
            <w:tcW w:w="1698" w:type="dxa"/>
            <w:shd w:val="clear" w:color="auto" w:fill="auto"/>
            <w:vAlign w:val="center"/>
          </w:tcPr>
          <w:p>
            <w:pPr>
              <w:jc w:val="center"/>
              <w:rPr>
                <w:rFonts w:ascii="Arial" w:hAnsi="Arial"/>
                <w:b/>
                <w:bCs/>
                <w:color w:val="000000"/>
                <w:sz w:val="21"/>
                <w:szCs w:val="21"/>
              </w:rPr>
            </w:pPr>
            <w:r>
              <w:rPr>
                <w:rFonts w:hint="eastAsia" w:ascii="Arial" w:hAnsi="Arial"/>
                <w:b/>
                <w:bCs/>
                <w:color w:val="000000"/>
                <w:sz w:val="21"/>
                <w:szCs w:val="21"/>
              </w:rPr>
              <w:t>价值观</w:t>
            </w:r>
          </w:p>
        </w:tc>
        <w:tc>
          <w:tcPr>
            <w:tcW w:w="7208" w:type="dxa"/>
            <w:shd w:val="clear" w:color="auto" w:fill="auto"/>
            <w:vAlign w:val="center"/>
          </w:tcPr>
          <w:p>
            <w:pPr>
              <w:spacing w:line="240" w:lineRule="auto"/>
              <w:jc w:val="center"/>
              <w:rPr>
                <w:rFonts w:ascii="Arial" w:hAnsi="Arial"/>
                <w:color w:val="000000"/>
                <w:sz w:val="21"/>
                <w:szCs w:val="21"/>
                <w:highlight w:val="yellow"/>
              </w:rPr>
            </w:pPr>
            <w:r>
              <w:rPr>
                <w:rFonts w:hint="eastAsia" w:cs="宋体"/>
                <w:i w:val="0"/>
                <w:iCs w:val="0"/>
                <w:color w:val="auto"/>
                <w:kern w:val="0"/>
                <w:sz w:val="21"/>
                <w:szCs w:val="21"/>
                <w:u w:val="none"/>
                <w:lang w:val="en-US" w:eastAsia="zh-CN" w:bidi="ar"/>
              </w:rPr>
              <w:t>以用户为核心、以质取信、融合创新、坚持勤勉、分享与赋能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trPr>
        <w:tc>
          <w:tcPr>
            <w:tcW w:w="1698" w:type="dxa"/>
            <w:shd w:val="clear" w:color="auto" w:fill="auto"/>
            <w:vAlign w:val="center"/>
          </w:tcPr>
          <w:p>
            <w:pPr>
              <w:jc w:val="center"/>
              <w:rPr>
                <w:rFonts w:ascii="Arial" w:hAnsi="Arial"/>
                <w:b/>
                <w:bCs/>
                <w:color w:val="000000"/>
                <w:sz w:val="21"/>
                <w:szCs w:val="21"/>
              </w:rPr>
            </w:pPr>
            <w:r>
              <w:rPr>
                <w:rFonts w:hint="eastAsia" w:ascii="Arial" w:hAnsi="Arial"/>
                <w:b/>
                <w:bCs/>
                <w:color w:val="000000"/>
                <w:sz w:val="21"/>
                <w:szCs w:val="21"/>
              </w:rPr>
              <w:t>经营理念</w:t>
            </w:r>
          </w:p>
        </w:tc>
        <w:tc>
          <w:tcPr>
            <w:tcW w:w="7208" w:type="dxa"/>
            <w:shd w:val="clear" w:color="auto" w:fill="auto"/>
            <w:vAlign w:val="center"/>
          </w:tcPr>
          <w:p>
            <w:pPr>
              <w:spacing w:line="240" w:lineRule="auto"/>
              <w:jc w:val="center"/>
              <w:rPr>
                <w:rFonts w:ascii="Arial" w:hAnsi="Arial"/>
                <w:sz w:val="21"/>
                <w:szCs w:val="21"/>
                <w:highlight w:val="yellow"/>
              </w:rPr>
            </w:pPr>
            <w:r>
              <w:rPr>
                <w:rFonts w:hint="eastAsia" w:cs="宋体"/>
                <w:i w:val="0"/>
                <w:iCs w:val="0"/>
                <w:color w:val="auto"/>
                <w:kern w:val="0"/>
                <w:sz w:val="21"/>
                <w:szCs w:val="21"/>
                <w:u w:val="none"/>
                <w:lang w:val="en-US" w:eastAsia="zh-CN" w:bidi="ar"/>
              </w:rPr>
              <w:t>以人为本、鼓励创新</w:t>
            </w:r>
          </w:p>
        </w:tc>
      </w:tr>
    </w:tbl>
    <w:p>
      <w:pPr>
        <w:pStyle w:val="4"/>
        <w:keepNext w:val="0"/>
        <w:keepLines w:val="0"/>
        <w:pageBreakBefore w:val="0"/>
        <w:widowControl w:val="0"/>
        <w:kinsoku/>
        <w:wordWrap/>
        <w:overflowPunct/>
        <w:topLinePunct w:val="0"/>
        <w:autoSpaceDE w:val="0"/>
        <w:autoSpaceDN w:val="0"/>
        <w:bidi w:val="0"/>
        <w:adjustRightInd/>
        <w:snapToGrid/>
        <w:spacing w:line="360" w:lineRule="auto"/>
        <w:ind w:left="0" w:right="0" w:firstLine="480" w:firstLineChars="200"/>
        <w:jc w:val="both"/>
        <w:textAlignment w:val="auto"/>
        <w:rPr>
          <w:highlight w:val="none"/>
        </w:rPr>
      </w:pPr>
      <w:bookmarkStart w:id="5" w:name="_Ref329948790"/>
    </w:p>
    <w:p>
      <w:pPr>
        <w:pStyle w:val="4"/>
        <w:keepNext w:val="0"/>
        <w:keepLines w:val="0"/>
        <w:pageBreakBefore w:val="0"/>
        <w:widowControl w:val="0"/>
        <w:kinsoku/>
        <w:wordWrap/>
        <w:overflowPunct/>
        <w:topLinePunct w:val="0"/>
        <w:autoSpaceDE w:val="0"/>
        <w:autoSpaceDN w:val="0"/>
        <w:bidi w:val="0"/>
        <w:adjustRightInd/>
        <w:snapToGrid/>
        <w:spacing w:line="360" w:lineRule="auto"/>
        <w:ind w:left="0" w:right="0" w:firstLine="480" w:firstLineChars="200"/>
        <w:jc w:val="both"/>
        <w:textAlignment w:val="auto"/>
        <w:rPr>
          <w:rFonts w:hint="eastAsia"/>
          <w:highlight w:val="none"/>
        </w:rPr>
      </w:pPr>
      <w:r>
        <w:rPr>
          <w:highlight w:val="none"/>
        </w:rPr>
        <w:t>企业使命</w:t>
      </w:r>
      <w:r>
        <w:rPr>
          <w:rFonts w:hint="eastAsia"/>
          <w:highlight w:val="none"/>
        </w:rPr>
        <w:t>：</w:t>
      </w:r>
      <w:r>
        <w:rPr>
          <w:rFonts w:hint="eastAsia"/>
          <w:highlight w:val="none"/>
          <w:lang w:val="en-US" w:eastAsia="zh-CN"/>
        </w:rPr>
        <w:t>引领智能电气前进方向，创新智能电气发展道路</w:t>
      </w:r>
    </w:p>
    <w:p>
      <w:pPr>
        <w:pStyle w:val="4"/>
        <w:keepNext w:val="0"/>
        <w:keepLines w:val="0"/>
        <w:pageBreakBefore w:val="0"/>
        <w:widowControl w:val="0"/>
        <w:kinsoku/>
        <w:wordWrap/>
        <w:overflowPunct/>
        <w:topLinePunct w:val="0"/>
        <w:autoSpaceDE w:val="0"/>
        <w:autoSpaceDN w:val="0"/>
        <w:bidi w:val="0"/>
        <w:adjustRightInd/>
        <w:snapToGrid/>
        <w:spacing w:line="360" w:lineRule="auto"/>
        <w:ind w:left="0" w:right="0" w:firstLine="480" w:firstLineChars="200"/>
        <w:jc w:val="both"/>
        <w:textAlignment w:val="auto"/>
        <w:rPr>
          <w:highlight w:val="none"/>
        </w:rPr>
      </w:pPr>
      <w:r>
        <w:rPr>
          <w:rFonts w:hint="eastAsia"/>
          <w:highlight w:val="none"/>
          <w:lang w:eastAsia="zh-CN"/>
        </w:rPr>
        <w:t>建一流企业、创行业龙头品牌是南腾自创立起一直追求的夙愿与为之奋斗的目标；通过规范健全企业治理结构，提升革新与创造能力， 强化人力资源管理；通过责任、品质、服务、价值的创造与提升；打造“一流企业、创行业龙头品牌”的宏大梦想。</w:t>
      </w:r>
      <w:r>
        <w:rPr>
          <w:rFonts w:hint="eastAsia"/>
          <w:highlight w:val="none"/>
        </w:rPr>
        <w:t>企业愿景：</w:t>
      </w:r>
      <w:r>
        <w:rPr>
          <w:rFonts w:hint="eastAsia"/>
          <w:highlight w:val="none"/>
          <w:lang w:val="en-US" w:eastAsia="zh-CN"/>
        </w:rPr>
        <w:t>共创百年企业</w:t>
      </w:r>
      <w:r>
        <w:rPr>
          <w:rFonts w:hint="eastAsia"/>
          <w:highlight w:val="none"/>
        </w:rPr>
        <w:t>。</w:t>
      </w:r>
    </w:p>
    <w:p>
      <w:pPr>
        <w:pStyle w:val="4"/>
        <w:keepNext w:val="0"/>
        <w:keepLines w:val="0"/>
        <w:pageBreakBefore w:val="0"/>
        <w:widowControl w:val="0"/>
        <w:kinsoku/>
        <w:wordWrap/>
        <w:overflowPunct/>
        <w:topLinePunct w:val="0"/>
        <w:autoSpaceDE w:val="0"/>
        <w:autoSpaceDN w:val="0"/>
        <w:bidi w:val="0"/>
        <w:adjustRightInd/>
        <w:snapToGrid/>
        <w:spacing w:line="360" w:lineRule="auto"/>
        <w:ind w:left="0" w:right="0" w:firstLine="480" w:firstLineChars="200"/>
        <w:jc w:val="both"/>
        <w:textAlignment w:val="auto"/>
        <w:rPr>
          <w:rFonts w:hint="eastAsia"/>
          <w:highlight w:val="yellow"/>
        </w:rPr>
      </w:pPr>
      <w:r>
        <w:rPr>
          <w:rFonts w:hint="eastAsia"/>
          <w:highlight w:val="none"/>
          <w:lang w:val="en-US"/>
        </w:rPr>
        <w:t>公司自创建以来以一流的品质、优良的信誉，为</w:t>
      </w:r>
      <w:r>
        <w:rPr>
          <w:rFonts w:hint="eastAsia"/>
          <w:highlight w:val="none"/>
          <w:lang w:val="en-US" w:eastAsia="zh-CN"/>
        </w:rPr>
        <w:t>电气安全、教育医疗、酒店公寓、石油化工、工矿企业、交通运输、市府工程、建筑工程等</w:t>
      </w:r>
      <w:r>
        <w:rPr>
          <w:rFonts w:hint="eastAsia"/>
          <w:highlight w:val="none"/>
          <w:lang w:eastAsia="zh-CN"/>
        </w:rPr>
        <w:t>单位的采购产品的生产和服务</w:t>
      </w:r>
      <w:r>
        <w:rPr>
          <w:rFonts w:hint="eastAsia"/>
          <w:highlight w:val="none"/>
        </w:rPr>
        <w:t>，目前在国内市场已有</w:t>
      </w:r>
      <w:r>
        <w:rPr>
          <w:rFonts w:hint="eastAsia"/>
          <w:highlight w:val="none"/>
          <w:lang w:val="en-US"/>
        </w:rPr>
        <w:t>一定</w:t>
      </w:r>
      <w:r>
        <w:rPr>
          <w:rFonts w:hint="eastAsia"/>
          <w:highlight w:val="none"/>
        </w:rPr>
        <w:t>的行业地位与影响力，结合当代社会经济发展形式，在互联网经济时代，我公司致力于成为</w:t>
      </w:r>
      <w:r>
        <w:rPr>
          <w:rFonts w:hint="eastAsia"/>
          <w:color w:val="000000"/>
          <w:highlight w:val="none"/>
        </w:rPr>
        <w:t>互联网时代</w:t>
      </w:r>
      <w:r>
        <w:rPr>
          <w:rFonts w:hint="eastAsia" w:asciiTheme="minorEastAsia" w:hAnsiTheme="minorEastAsia" w:eastAsiaTheme="minorEastAsia"/>
          <w:color w:val="000000" w:themeColor="text1"/>
          <w:highlight w:val="none"/>
          <w:lang w:val="en-US" w:eastAsia="zh-CN"/>
          <w14:textFill>
            <w14:solidFill>
              <w14:schemeClr w14:val="tx1"/>
            </w14:solidFill>
          </w14:textFill>
        </w:rPr>
        <w:t>企业低、</w:t>
      </w:r>
      <w:r>
        <w:rPr>
          <w:rFonts w:hint="eastAsia" w:asciiTheme="minorEastAsia" w:hAnsiTheme="minorEastAsia" w:eastAsiaTheme="minorEastAsia"/>
          <w:color w:val="000000" w:themeColor="text1"/>
          <w:highlight w:val="none"/>
          <w:lang w:val="en-US"/>
          <w14:textFill>
            <w14:solidFill>
              <w14:schemeClr w14:val="tx1"/>
            </w14:solidFill>
          </w14:textFill>
        </w:rPr>
        <w:t>高</w:t>
      </w:r>
      <w:r>
        <w:rPr>
          <w:rFonts w:hint="eastAsia" w:asciiTheme="minorEastAsia" w:hAnsiTheme="minorEastAsia" w:eastAsiaTheme="minorEastAsia"/>
          <w:color w:val="000000" w:themeColor="text1"/>
          <w:highlight w:val="none"/>
          <w:lang w:val="en-US" w:eastAsia="zh-CN"/>
          <w14:textFill>
            <w14:solidFill>
              <w14:schemeClr w14:val="tx1"/>
            </w14:solidFill>
          </w14:textFill>
        </w:rPr>
        <w:t>压电气</w:t>
      </w:r>
      <w:r>
        <w:rPr>
          <w:rFonts w:hint="eastAsia" w:asciiTheme="minorEastAsia" w:hAnsiTheme="minorEastAsia" w:eastAsiaTheme="minorEastAsia"/>
          <w:color w:val="000000" w:themeColor="text1"/>
          <w:highlight w:val="none"/>
          <w:lang w:val="en-US"/>
          <w14:textFill>
            <w14:solidFill>
              <w14:schemeClr w14:val="tx1"/>
            </w14:solidFill>
          </w14:textFill>
        </w:rPr>
        <w:t>定制</w:t>
      </w:r>
      <w:r>
        <w:rPr>
          <w:rFonts w:hint="eastAsia"/>
          <w:color w:val="000000"/>
          <w:highlight w:val="none"/>
        </w:rPr>
        <w:t>顶级</w:t>
      </w:r>
      <w:r>
        <w:rPr>
          <w:rFonts w:hint="eastAsia"/>
          <w:color w:val="000000"/>
          <w:highlight w:val="none"/>
          <w:lang w:val="en-US"/>
        </w:rPr>
        <w:t>服务</w:t>
      </w:r>
      <w:r>
        <w:rPr>
          <w:rFonts w:hint="eastAsia"/>
          <w:color w:val="000000"/>
          <w:highlight w:val="none"/>
        </w:rPr>
        <w:t>商</w:t>
      </w:r>
      <w:r>
        <w:rPr>
          <w:rFonts w:hint="eastAsia"/>
          <w:highlight w:val="none"/>
        </w:rPr>
        <w:t>。</w:t>
      </w:r>
    </w:p>
    <w:p>
      <w:pPr>
        <w:pStyle w:val="4"/>
        <w:keepNext w:val="0"/>
        <w:keepLines w:val="0"/>
        <w:pageBreakBefore w:val="0"/>
        <w:widowControl w:val="0"/>
        <w:kinsoku/>
        <w:wordWrap/>
        <w:overflowPunct/>
        <w:topLinePunct w:val="0"/>
        <w:autoSpaceDE w:val="0"/>
        <w:autoSpaceDN w:val="0"/>
        <w:bidi w:val="0"/>
        <w:adjustRightInd/>
        <w:snapToGrid/>
        <w:spacing w:line="360" w:lineRule="auto"/>
        <w:ind w:left="0" w:right="0" w:firstLine="480" w:firstLineChars="200"/>
        <w:jc w:val="both"/>
        <w:textAlignment w:val="auto"/>
        <w:rPr>
          <w:highlight w:val="yellow"/>
        </w:rPr>
      </w:pPr>
      <w:r>
        <w:rPr>
          <w:rFonts w:hint="eastAsia" w:cs="宋体"/>
          <w:sz w:val="24"/>
          <w:highlight w:val="none"/>
          <w:lang w:val="en-US" w:eastAsia="zh-CN"/>
        </w:rPr>
        <w:t>南腾</w:t>
      </w:r>
      <w:r>
        <w:rPr>
          <w:rFonts w:hint="eastAsia" w:ascii="宋体" w:hAnsi="宋体" w:eastAsia="宋体" w:cs="宋体"/>
          <w:sz w:val="24"/>
          <w:highlight w:val="none"/>
          <w:lang w:eastAsia="zh-CN"/>
        </w:rPr>
        <w:t>专注于</w:t>
      </w:r>
      <w:r>
        <w:rPr>
          <w:rFonts w:hint="eastAsia" w:ascii="宋体" w:hAnsi="宋体" w:eastAsia="宋体" w:cs="宋体"/>
          <w:sz w:val="24"/>
          <w:highlight w:val="none"/>
          <w:lang w:val="en-US" w:eastAsia="zh-CN"/>
        </w:rPr>
        <w:t>电气安全、教育医疗、酒店公寓、石油化工、工矿企业、交通运输、市府工程、建筑工程等</w:t>
      </w:r>
      <w:r>
        <w:rPr>
          <w:rFonts w:hint="eastAsia" w:ascii="宋体" w:hAnsi="宋体" w:eastAsia="宋体" w:cs="宋体"/>
          <w:sz w:val="24"/>
          <w:highlight w:val="none"/>
          <w:lang w:eastAsia="zh-CN"/>
        </w:rPr>
        <w:t>单位的采购产品的生产和服务，积极挖掘行业优势和自身潜能，探索</w:t>
      </w:r>
      <w:r>
        <w:rPr>
          <w:rFonts w:hint="eastAsia" w:cs="宋体"/>
          <w:sz w:val="24"/>
          <w:highlight w:val="none"/>
          <w:lang w:val="en-US" w:eastAsia="zh-CN"/>
        </w:rPr>
        <w:t>电气</w:t>
      </w:r>
      <w:r>
        <w:rPr>
          <w:rFonts w:hint="eastAsia" w:ascii="宋体" w:hAnsi="宋体" w:eastAsia="宋体" w:cs="宋体"/>
          <w:sz w:val="24"/>
          <w:highlight w:val="none"/>
          <w:lang w:eastAsia="zh-CN"/>
        </w:rPr>
        <w:t>各种功能，解决客户的各种疑虑或后顾之忧，做到专业、专注、超值，致力把“</w:t>
      </w:r>
      <w:r>
        <w:rPr>
          <w:rFonts w:hint="eastAsia" w:cs="宋体"/>
          <w:sz w:val="24"/>
          <w:highlight w:val="none"/>
          <w:lang w:val="en-US" w:eastAsia="zh-CN"/>
        </w:rPr>
        <w:t>南腾</w:t>
      </w:r>
      <w:r>
        <w:rPr>
          <w:rFonts w:hint="eastAsia" w:ascii="宋体" w:hAnsi="宋体" w:eastAsia="宋体" w:cs="宋体"/>
          <w:sz w:val="24"/>
          <w:highlight w:val="none"/>
          <w:lang w:eastAsia="zh-CN"/>
        </w:rPr>
        <w:t>”打造成</w:t>
      </w:r>
      <w:r>
        <w:rPr>
          <w:rFonts w:hint="eastAsia" w:cs="宋体"/>
          <w:sz w:val="24"/>
          <w:highlight w:val="none"/>
          <w:lang w:eastAsia="zh-CN"/>
        </w:rPr>
        <w:t>低高压电气采购首选的放心企业</w:t>
      </w:r>
      <w:r>
        <w:rPr>
          <w:rFonts w:hint="eastAsia" w:ascii="宋体" w:hAnsi="宋体" w:eastAsia="宋体" w:cs="宋体"/>
          <w:sz w:val="24"/>
          <w:highlight w:val="none"/>
          <w:lang w:eastAsia="zh-CN"/>
        </w:rPr>
        <w:t>。</w:t>
      </w:r>
    </w:p>
    <w:p>
      <w:pPr>
        <w:pStyle w:val="4"/>
        <w:keepNext w:val="0"/>
        <w:keepLines w:val="0"/>
        <w:pageBreakBefore w:val="0"/>
        <w:widowControl w:val="0"/>
        <w:kinsoku/>
        <w:wordWrap/>
        <w:overflowPunct/>
        <w:topLinePunct w:val="0"/>
        <w:autoSpaceDE w:val="0"/>
        <w:autoSpaceDN w:val="0"/>
        <w:bidi w:val="0"/>
        <w:adjustRightInd/>
        <w:snapToGrid/>
        <w:spacing w:line="360" w:lineRule="auto"/>
        <w:ind w:left="0" w:right="0" w:firstLine="480" w:firstLineChars="200"/>
        <w:jc w:val="both"/>
        <w:textAlignment w:val="auto"/>
        <w:rPr>
          <w:rFonts w:hint="eastAsia"/>
          <w:highlight w:val="none"/>
          <w:lang w:val="en-US" w:eastAsia="zh-CN"/>
        </w:rPr>
      </w:pPr>
      <w:r>
        <w:rPr>
          <w:rFonts w:hint="eastAsia"/>
          <w:highlight w:val="none"/>
          <w:lang w:val="en-US" w:eastAsia="zh-CN"/>
        </w:rPr>
        <w:t>核心价值观：以用户为核心、以质取信、融合创新、坚持勤勉、分享与赋能</w:t>
      </w:r>
    </w:p>
    <w:p>
      <w:pPr>
        <w:pStyle w:val="4"/>
        <w:keepNext w:val="0"/>
        <w:keepLines w:val="0"/>
        <w:pageBreakBefore w:val="0"/>
        <w:widowControl w:val="0"/>
        <w:kinsoku/>
        <w:wordWrap/>
        <w:overflowPunct/>
        <w:topLinePunct w:val="0"/>
        <w:autoSpaceDE w:val="0"/>
        <w:autoSpaceDN w:val="0"/>
        <w:bidi w:val="0"/>
        <w:adjustRightInd/>
        <w:snapToGrid/>
        <w:spacing w:line="360" w:lineRule="auto"/>
        <w:ind w:left="0" w:right="0" w:firstLine="480" w:firstLineChars="200"/>
        <w:jc w:val="both"/>
        <w:textAlignment w:val="auto"/>
        <w:rPr>
          <w:rFonts w:hint="default"/>
          <w:highlight w:val="none"/>
          <w:lang w:val="en-US" w:eastAsia="zh-CN"/>
        </w:rPr>
      </w:pPr>
      <w:r>
        <w:rPr>
          <w:rFonts w:hint="eastAsia"/>
          <w:highlight w:val="none"/>
          <w:lang w:val="en-US" w:eastAsia="zh-CN"/>
        </w:rPr>
        <w:t>以用户为核心——客户需求导向是贯穿于市场、研发、销售、制造、服务等公司的全流程的，企业必须全业务流程以客户需求导向。</w:t>
      </w:r>
    </w:p>
    <w:p>
      <w:pPr>
        <w:pStyle w:val="4"/>
        <w:keepNext w:val="0"/>
        <w:keepLines w:val="0"/>
        <w:pageBreakBefore w:val="0"/>
        <w:widowControl w:val="0"/>
        <w:kinsoku/>
        <w:wordWrap/>
        <w:overflowPunct/>
        <w:topLinePunct w:val="0"/>
        <w:autoSpaceDE w:val="0"/>
        <w:autoSpaceDN w:val="0"/>
        <w:bidi w:val="0"/>
        <w:adjustRightInd/>
        <w:snapToGrid/>
        <w:spacing w:line="360" w:lineRule="auto"/>
        <w:ind w:left="0" w:right="0" w:firstLine="480" w:firstLineChars="200"/>
        <w:jc w:val="both"/>
        <w:textAlignment w:val="auto"/>
        <w:rPr>
          <w:color w:val="auto"/>
          <w:highlight w:val="none"/>
        </w:rPr>
      </w:pPr>
      <w:r>
        <w:rPr>
          <w:rFonts w:hint="eastAsia"/>
          <w:highlight w:val="none"/>
          <w:lang w:val="en-US" w:eastAsia="zh-CN"/>
        </w:rPr>
        <w:t>以质取信</w:t>
      </w:r>
      <w:r>
        <w:rPr>
          <w:rFonts w:hint="eastAsia"/>
          <w:color w:val="auto"/>
          <w:highlight w:val="none"/>
        </w:rPr>
        <w:t>——</w:t>
      </w:r>
      <w:r>
        <w:rPr>
          <w:rFonts w:hint="eastAsia" w:cs="宋体"/>
          <w:highlight w:val="none"/>
          <w:lang w:val="en-US" w:eastAsia="zh-CN"/>
        </w:rPr>
        <w:t>诚信经营，以人为本，以质取胜，客户至上，为客户提供最佳产品，最优质的服务是我们的宗旨</w:t>
      </w:r>
      <w:r>
        <w:rPr>
          <w:rFonts w:hint="eastAsia" w:ascii="宋体" w:hAnsi="宋体" w:eastAsia="宋体" w:cs="宋体"/>
          <w:highlight w:val="none"/>
          <w:lang w:val="en-US" w:eastAsia="zh-CN"/>
        </w:rPr>
        <w:t>。</w:t>
      </w:r>
    </w:p>
    <w:p>
      <w:pPr>
        <w:pStyle w:val="4"/>
        <w:keepNext w:val="0"/>
        <w:keepLines w:val="0"/>
        <w:pageBreakBefore w:val="0"/>
        <w:widowControl w:val="0"/>
        <w:kinsoku/>
        <w:wordWrap/>
        <w:overflowPunct/>
        <w:topLinePunct w:val="0"/>
        <w:autoSpaceDE w:val="0"/>
        <w:autoSpaceDN w:val="0"/>
        <w:bidi w:val="0"/>
        <w:adjustRightInd/>
        <w:snapToGrid/>
        <w:spacing w:line="360" w:lineRule="auto"/>
        <w:ind w:left="0" w:right="0" w:firstLine="480" w:firstLineChars="200"/>
        <w:jc w:val="both"/>
        <w:textAlignment w:val="auto"/>
        <w:rPr>
          <w:rFonts w:hint="eastAsia" w:cs="宋体"/>
          <w:highlight w:val="none"/>
          <w:lang w:val="en-US" w:eastAsia="zh-CN"/>
        </w:rPr>
      </w:pPr>
      <w:r>
        <w:rPr>
          <w:rFonts w:hint="eastAsia"/>
          <w:highlight w:val="none"/>
          <w:lang w:val="en-US" w:eastAsia="zh-CN"/>
        </w:rPr>
        <w:t>融合创</w:t>
      </w:r>
      <w:r>
        <w:rPr>
          <w:rFonts w:hint="eastAsia" w:cs="宋体"/>
          <w:highlight w:val="none"/>
          <w:lang w:val="en-US" w:eastAsia="zh-CN"/>
        </w:rPr>
        <w:t>新——将各种</w:t>
      </w:r>
      <w:r>
        <w:rPr>
          <w:rFonts w:hint="default" w:cs="宋体"/>
          <w:highlight w:val="none"/>
          <w:lang w:val="en-US" w:eastAsia="zh-CN"/>
        </w:rPr>
        <w:fldChar w:fldCharType="begin"/>
      </w:r>
      <w:r>
        <w:rPr>
          <w:rFonts w:hint="default" w:cs="宋体"/>
          <w:highlight w:val="none"/>
          <w:lang w:val="en-US" w:eastAsia="zh-CN"/>
        </w:rPr>
        <w:instrText xml:space="preserve"> HYPERLINK "https://baike.baidu.com/item/%E5%88%9B%E6%96%B0%E8%A6%81%E7%B4%A0" \t "https://baike.baidu.com/item/%E8%9E%8D%E5%90%88%E5%88%9B%E6%96%B0/_blank" </w:instrText>
      </w:r>
      <w:r>
        <w:rPr>
          <w:rFonts w:hint="default" w:cs="宋体"/>
          <w:highlight w:val="none"/>
          <w:lang w:val="en-US" w:eastAsia="zh-CN"/>
        </w:rPr>
        <w:fldChar w:fldCharType="separate"/>
      </w:r>
      <w:r>
        <w:rPr>
          <w:rFonts w:hint="default" w:cs="宋体"/>
          <w:highlight w:val="none"/>
          <w:lang w:val="en-US" w:eastAsia="zh-CN"/>
        </w:rPr>
        <w:t>创新要素</w:t>
      </w:r>
      <w:r>
        <w:rPr>
          <w:rFonts w:hint="default" w:cs="宋体"/>
          <w:highlight w:val="none"/>
          <w:lang w:val="en-US" w:eastAsia="zh-CN"/>
        </w:rPr>
        <w:fldChar w:fldCharType="end"/>
      </w:r>
      <w:r>
        <w:rPr>
          <w:rFonts w:hint="default" w:cs="宋体"/>
          <w:highlight w:val="none"/>
          <w:lang w:val="en-US" w:eastAsia="zh-CN"/>
        </w:rPr>
        <w:t>通过创造性的融合,使各创新要素之间互补匹配,从而使创新系统的整体功能发生质的飞跃,形成独特的不可复制、不可超越的创新能力和核心竞争力</w:t>
      </w:r>
      <w:r>
        <w:rPr>
          <w:rFonts w:hint="eastAsia" w:cs="宋体"/>
          <w:highlight w:val="none"/>
          <w:lang w:val="en-US" w:eastAsia="zh-CN"/>
        </w:rPr>
        <w:t>。</w:t>
      </w:r>
    </w:p>
    <w:p>
      <w:pPr>
        <w:pStyle w:val="4"/>
        <w:keepNext w:val="0"/>
        <w:keepLines w:val="0"/>
        <w:pageBreakBefore w:val="0"/>
        <w:widowControl w:val="0"/>
        <w:kinsoku/>
        <w:wordWrap/>
        <w:overflowPunct/>
        <w:topLinePunct w:val="0"/>
        <w:autoSpaceDE w:val="0"/>
        <w:autoSpaceDN w:val="0"/>
        <w:bidi w:val="0"/>
        <w:adjustRightInd/>
        <w:snapToGrid/>
        <w:spacing w:line="360" w:lineRule="auto"/>
        <w:ind w:left="0" w:right="0" w:firstLine="480" w:firstLineChars="200"/>
        <w:jc w:val="both"/>
        <w:textAlignment w:val="auto"/>
        <w:rPr>
          <w:rFonts w:hint="eastAsia"/>
          <w:highlight w:val="none"/>
          <w:lang w:val="en-US" w:eastAsia="zh-CN"/>
        </w:rPr>
      </w:pPr>
      <w:r>
        <w:rPr>
          <w:rFonts w:hint="eastAsia"/>
          <w:highlight w:val="none"/>
          <w:lang w:val="en-US" w:eastAsia="zh-CN"/>
        </w:rPr>
        <w:t>坚持勤勉</w:t>
      </w:r>
      <w:r>
        <w:rPr>
          <w:rFonts w:hint="eastAsia" w:cs="宋体"/>
          <w:highlight w:val="none"/>
          <w:lang w:val="en-US" w:eastAsia="zh-CN"/>
        </w:rPr>
        <w:t>——</w:t>
      </w:r>
      <w:r>
        <w:rPr>
          <w:rFonts w:hint="eastAsia"/>
          <w:highlight w:val="none"/>
          <w:lang w:val="en-US" w:eastAsia="zh-CN"/>
        </w:rPr>
        <w:t>除了良好的产品服务，还有就是勤勉。最宝贵的勤勉，不光是身体上的勤勉，而是精神上的勤勉，勤勉靠的是毅力，是永恒。</w:t>
      </w:r>
    </w:p>
    <w:p>
      <w:pPr>
        <w:pStyle w:val="4"/>
        <w:keepNext w:val="0"/>
        <w:keepLines w:val="0"/>
        <w:pageBreakBefore w:val="0"/>
        <w:widowControl w:val="0"/>
        <w:kinsoku/>
        <w:wordWrap/>
        <w:overflowPunct/>
        <w:topLinePunct w:val="0"/>
        <w:autoSpaceDE w:val="0"/>
        <w:autoSpaceDN w:val="0"/>
        <w:bidi w:val="0"/>
        <w:adjustRightInd/>
        <w:snapToGrid/>
        <w:spacing w:line="360" w:lineRule="auto"/>
        <w:ind w:left="0" w:right="0" w:firstLine="480" w:firstLineChars="200"/>
        <w:jc w:val="both"/>
        <w:textAlignment w:val="auto"/>
        <w:rPr>
          <w:rFonts w:ascii="微软雅黑" w:hAnsi="微软雅黑" w:eastAsia="微软雅黑" w:cs="微软雅黑"/>
          <w:i w:val="0"/>
          <w:iCs w:val="0"/>
          <w:caps w:val="0"/>
          <w:color w:val="888888"/>
          <w:spacing w:val="0"/>
          <w:sz w:val="21"/>
          <w:szCs w:val="21"/>
          <w:shd w:val="clear" w:fill="FFFFFF"/>
        </w:rPr>
      </w:pPr>
      <w:r>
        <w:rPr>
          <w:rFonts w:hint="eastAsia"/>
          <w:highlight w:val="none"/>
          <w:lang w:val="en-US" w:eastAsia="zh-CN"/>
        </w:rPr>
        <w:t>分享与赋能</w:t>
      </w:r>
      <w:r>
        <w:rPr>
          <w:rFonts w:hint="eastAsia"/>
          <w:color w:val="auto"/>
          <w:highlight w:val="none"/>
        </w:rPr>
        <w:t>——</w:t>
      </w:r>
      <w:r>
        <w:rPr>
          <w:rFonts w:hint="eastAsia" w:cs="宋体"/>
          <w:highlight w:val="none"/>
          <w:lang w:val="en-US" w:eastAsia="zh-CN"/>
        </w:rPr>
        <w:t>企业由上而下地释放权力，油漆是员工们的自主工作的权力，从而通过去中心化的方式驱动企业组织扁平化，最大限度发挥个人才智和潜能</w:t>
      </w:r>
      <w:r>
        <w:rPr>
          <w:rFonts w:hint="eastAsia" w:ascii="宋体" w:hAnsi="宋体" w:eastAsia="宋体" w:cs="宋体"/>
          <w:highlight w:val="none"/>
          <w:lang w:val="en-US" w:eastAsia="zh-CN"/>
        </w:rPr>
        <w:t>。</w:t>
      </w:r>
    </w:p>
    <w:p>
      <w:pPr>
        <w:pStyle w:val="4"/>
        <w:keepNext w:val="0"/>
        <w:keepLines w:val="0"/>
        <w:pageBreakBefore w:val="0"/>
        <w:widowControl w:val="0"/>
        <w:kinsoku/>
        <w:wordWrap/>
        <w:overflowPunct/>
        <w:topLinePunct w:val="0"/>
        <w:autoSpaceDE w:val="0"/>
        <w:autoSpaceDN w:val="0"/>
        <w:bidi w:val="0"/>
        <w:adjustRightInd/>
        <w:snapToGrid/>
        <w:spacing w:line="360" w:lineRule="auto"/>
        <w:ind w:left="0" w:right="0" w:firstLine="480" w:firstLineChars="200"/>
        <w:jc w:val="both"/>
        <w:textAlignment w:val="auto"/>
        <w:rPr>
          <w:rFonts w:hint="eastAsia" w:asciiTheme="minorEastAsia" w:hAnsiTheme="minorEastAsia" w:eastAsiaTheme="minorEastAsia" w:cstheme="minorEastAsia"/>
          <w:b w:val="0"/>
          <w:bCs/>
          <w:sz w:val="24"/>
          <w:szCs w:val="24"/>
        </w:rPr>
      </w:pPr>
      <w:r>
        <w:rPr>
          <w:rFonts w:hint="eastAsia"/>
          <w:highlight w:val="none"/>
        </w:rPr>
        <w:t>经营理念：</w:t>
      </w:r>
      <w:r>
        <w:rPr>
          <w:rFonts w:hint="eastAsia" w:asciiTheme="minorEastAsia" w:hAnsiTheme="minorEastAsia" w:eastAsiaTheme="minorEastAsia" w:cstheme="minorEastAsia"/>
          <w:b w:val="0"/>
          <w:bCs/>
          <w:sz w:val="24"/>
          <w:szCs w:val="24"/>
          <w:lang w:val="en-US" w:eastAsia="zh-CN"/>
        </w:rPr>
        <w:t>以人为本、鼓励创新</w:t>
      </w:r>
      <w:r>
        <w:rPr>
          <w:rFonts w:hint="eastAsia" w:asciiTheme="minorEastAsia" w:hAnsiTheme="minorEastAsia" w:eastAsiaTheme="minorEastAsia" w:cstheme="minorEastAsia"/>
          <w:b w:val="0"/>
          <w:bCs/>
          <w:sz w:val="24"/>
          <w:szCs w:val="24"/>
        </w:rPr>
        <w:t>。</w:t>
      </w:r>
    </w:p>
    <w:p>
      <w:pPr>
        <w:pStyle w:val="4"/>
        <w:keepNext w:val="0"/>
        <w:keepLines w:val="0"/>
        <w:pageBreakBefore w:val="0"/>
        <w:widowControl w:val="0"/>
        <w:kinsoku/>
        <w:wordWrap/>
        <w:overflowPunct/>
        <w:topLinePunct w:val="0"/>
        <w:autoSpaceDE w:val="0"/>
        <w:autoSpaceDN w:val="0"/>
        <w:bidi w:val="0"/>
        <w:adjustRightInd/>
        <w:snapToGrid/>
        <w:spacing w:line="360" w:lineRule="auto"/>
        <w:ind w:left="0" w:right="0" w:firstLine="480" w:firstLineChars="200"/>
        <w:jc w:val="both"/>
        <w:textAlignment w:val="auto"/>
        <w:rPr>
          <w:highlight w:val="yellow"/>
        </w:rPr>
      </w:pPr>
      <w:r>
        <w:rPr>
          <w:rFonts w:hint="eastAsia" w:cs="宋体" w:asciiTheme="minorEastAsia" w:hAnsiTheme="minorEastAsia" w:eastAsiaTheme="minorEastAsia"/>
          <w:color w:val="000000" w:themeColor="text1"/>
          <w:sz w:val="24"/>
          <w:szCs w:val="24"/>
          <w:highlight w:val="none"/>
          <w:lang w:eastAsia="zh-CN"/>
          <w14:textFill>
            <w14:solidFill>
              <w14:schemeClr w14:val="tx1"/>
            </w14:solidFill>
          </w14:textFill>
        </w:rPr>
        <w:t>坚持“</w:t>
      </w:r>
      <w:r>
        <w:rPr>
          <w:rFonts w:hint="eastAsia" w:asciiTheme="minorEastAsia" w:hAnsiTheme="minorEastAsia" w:eastAsiaTheme="minorEastAsia" w:cstheme="minorEastAsia"/>
          <w:b w:val="0"/>
          <w:bCs/>
          <w:sz w:val="24"/>
          <w:szCs w:val="24"/>
          <w:lang w:val="en-US" w:eastAsia="zh-CN"/>
        </w:rPr>
        <w:t>顾客至上、优质高效、全员参与、持续改进</w:t>
      </w:r>
      <w:r>
        <w:rPr>
          <w:rFonts w:hint="eastAsia" w:cs="宋体" w:asciiTheme="minorEastAsia" w:hAnsiTheme="minorEastAsia" w:eastAsiaTheme="minorEastAsia"/>
          <w:color w:val="000000" w:themeColor="text1"/>
          <w:sz w:val="24"/>
          <w:szCs w:val="24"/>
          <w:highlight w:val="none"/>
          <w:lang w:eastAsia="zh-CN"/>
          <w14:textFill>
            <w14:solidFill>
              <w14:schemeClr w14:val="tx1"/>
            </w14:solidFill>
          </w14:textFill>
        </w:rPr>
        <w:t>”的质量方针</w:t>
      </w:r>
      <w:r>
        <w:rPr>
          <w:rFonts w:hint="eastAsia"/>
          <w:color w:val="000000"/>
          <w:highlight w:val="none"/>
          <w:lang w:val="en-US"/>
        </w:rPr>
        <w:t>，</w:t>
      </w:r>
      <w:r>
        <w:rPr>
          <w:rFonts w:hint="eastAsia"/>
          <w:highlight w:val="none"/>
          <w:lang w:val="en-US"/>
        </w:rPr>
        <w:t>以一流的品质、优良的信誉为客户服务</w:t>
      </w:r>
      <w:r>
        <w:rPr>
          <w:rFonts w:hint="eastAsia"/>
          <w:highlight w:val="none"/>
        </w:rPr>
        <w:t>，</w:t>
      </w:r>
      <w:r>
        <w:rPr>
          <w:rFonts w:hint="eastAsia"/>
          <w:highlight w:val="none"/>
          <w:lang w:val="en-US"/>
        </w:rPr>
        <w:t>通过技术打造精品</w:t>
      </w:r>
      <w:r>
        <w:rPr>
          <w:rFonts w:hint="eastAsia"/>
          <w:highlight w:val="none"/>
        </w:rPr>
        <w:t>。</w:t>
      </w:r>
      <w:r>
        <w:rPr>
          <w:rFonts w:hint="eastAsia" w:cs="宋体"/>
          <w:sz w:val="24"/>
          <w:highlight w:val="none"/>
          <w:lang w:val="en-US" w:eastAsia="zh-CN"/>
        </w:rPr>
        <w:t>南腾</w:t>
      </w:r>
      <w:r>
        <w:rPr>
          <w:rFonts w:hint="eastAsia" w:ascii="宋体" w:hAnsi="宋体" w:eastAsia="宋体" w:cs="宋体"/>
          <w:sz w:val="24"/>
          <w:highlight w:val="none"/>
          <w:lang w:eastAsia="zh-CN"/>
        </w:rPr>
        <w:t>的员工从上至下都以“</w:t>
      </w:r>
      <w:r>
        <w:rPr>
          <w:rFonts w:hint="eastAsia"/>
          <w:b w:val="0"/>
          <w:bCs w:val="0"/>
          <w:szCs w:val="24"/>
          <w:lang w:val="en-US" w:eastAsia="zh-CN"/>
        </w:rPr>
        <w:t>以用户为核心、以质取信、融合创新、坚持勤勉、分享与赋能</w:t>
      </w:r>
      <w:r>
        <w:rPr>
          <w:rFonts w:hint="eastAsia" w:ascii="宋体" w:hAnsi="宋体" w:eastAsia="宋体" w:cs="宋体"/>
          <w:sz w:val="24"/>
          <w:highlight w:val="none"/>
          <w:lang w:eastAsia="zh-CN"/>
        </w:rPr>
        <w:t>”为核心价值取向</w:t>
      </w:r>
      <w:r>
        <w:rPr>
          <w:rFonts w:hint="eastAsia" w:cs="宋体"/>
          <w:sz w:val="24"/>
          <w:highlight w:val="none"/>
          <w:lang w:eastAsia="zh-CN"/>
        </w:rPr>
        <w:t>，</w:t>
      </w:r>
      <w:r>
        <w:rPr>
          <w:rFonts w:hint="eastAsia" w:ascii="宋体" w:hAnsi="宋体" w:eastAsia="宋体" w:cs="宋体"/>
          <w:sz w:val="24"/>
          <w:highlight w:val="none"/>
          <w:lang w:eastAsia="zh-CN"/>
        </w:rPr>
        <w:t>时时牢记我们是诚信的维护者，是专业</w:t>
      </w:r>
      <w:r>
        <w:rPr>
          <w:rFonts w:hint="eastAsia" w:cs="宋体"/>
          <w:sz w:val="24"/>
          <w:highlight w:val="none"/>
          <w:lang w:val="en-US" w:eastAsia="zh-CN"/>
        </w:rPr>
        <w:t>电气</w:t>
      </w:r>
      <w:r>
        <w:rPr>
          <w:rFonts w:hint="eastAsia" w:ascii="宋体" w:hAnsi="宋体" w:eastAsia="宋体" w:cs="宋体"/>
          <w:sz w:val="24"/>
          <w:highlight w:val="none"/>
          <w:lang w:eastAsia="zh-CN"/>
        </w:rPr>
        <w:t>生产的前行者，是构建和谐企业的缔造者。</w:t>
      </w:r>
    </w:p>
    <w:bookmarkEnd w:id="5"/>
    <w:p>
      <w:pPr>
        <w:pStyle w:val="4"/>
        <w:keepNext w:val="0"/>
        <w:keepLines w:val="0"/>
        <w:pageBreakBefore w:val="0"/>
        <w:widowControl w:val="0"/>
        <w:kinsoku/>
        <w:wordWrap/>
        <w:overflowPunct/>
        <w:topLinePunct w:val="0"/>
        <w:autoSpaceDE w:val="0"/>
        <w:autoSpaceDN w:val="0"/>
        <w:bidi w:val="0"/>
        <w:adjustRightInd/>
        <w:snapToGrid/>
        <w:spacing w:line="360" w:lineRule="auto"/>
        <w:ind w:left="0" w:right="0" w:firstLine="480" w:firstLineChars="200"/>
        <w:jc w:val="both"/>
        <w:textAlignment w:val="auto"/>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2）企业文化理念的宣贯</w:t>
      </w:r>
    </w:p>
    <w:p>
      <w:pPr>
        <w:pStyle w:val="4"/>
        <w:keepNext w:val="0"/>
        <w:keepLines w:val="0"/>
        <w:pageBreakBefore w:val="0"/>
        <w:widowControl w:val="0"/>
        <w:kinsoku/>
        <w:wordWrap/>
        <w:overflowPunct/>
        <w:topLinePunct w:val="0"/>
        <w:autoSpaceDE w:val="0"/>
        <w:autoSpaceDN w:val="0"/>
        <w:bidi w:val="0"/>
        <w:adjustRightInd/>
        <w:snapToGrid/>
        <w:spacing w:line="360" w:lineRule="auto"/>
        <w:ind w:left="0" w:right="0" w:firstLine="480" w:firstLineChars="200"/>
        <w:jc w:val="both"/>
        <w:textAlignment w:val="auto"/>
        <w:rPr>
          <w:highlight w:val="none"/>
        </w:rPr>
      </w:pPr>
      <w:r>
        <w:rPr>
          <w:rFonts w:hint="eastAsia"/>
          <w:highlight w:val="none"/>
        </w:rPr>
        <w:t>公司总经理非常注重企业文化建设，他相信“文化是最顶层，包括团队的方向，追求持续经营，要做顶级供应商就必须打造好企业文化”。</w:t>
      </w:r>
    </w:p>
    <w:p>
      <w:pPr>
        <w:pStyle w:val="4"/>
        <w:spacing w:before="166" w:line="386" w:lineRule="auto"/>
        <w:ind w:right="359" w:firstLine="480"/>
        <w:jc w:val="both"/>
      </w:pPr>
      <w:r>
        <w:rPr>
          <w:lang w:val="en-US" w:bidi="ar-SA"/>
        </w:rPr>
        <w:drawing>
          <wp:inline distT="0" distB="0" distL="114300" distR="114300">
            <wp:extent cx="4525645" cy="2484120"/>
            <wp:effectExtent l="0" t="0" r="0" b="11430"/>
            <wp:docPr id="24" name="图片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23"/>
                    <pic:cNvPicPr>
                      <a:picLocks noChangeAspect="1"/>
                    </pic:cNvPicPr>
                  </pic:nvPicPr>
                  <pic:blipFill>
                    <a:blip r:embed="rId9"/>
                    <a:stretch>
                      <a:fillRect/>
                    </a:stretch>
                  </pic:blipFill>
                  <pic:spPr>
                    <a:xfrm>
                      <a:off x="0" y="0"/>
                      <a:ext cx="4525645" cy="2484120"/>
                    </a:xfrm>
                    <a:prstGeom prst="rect">
                      <a:avLst/>
                    </a:prstGeom>
                    <a:noFill/>
                    <a:ln>
                      <a:noFill/>
                    </a:ln>
                  </pic:spPr>
                </pic:pic>
              </a:graphicData>
            </a:graphic>
          </wp:inline>
        </w:drawing>
      </w:r>
    </w:p>
    <w:p>
      <w:pPr>
        <w:pStyle w:val="4"/>
        <w:spacing w:before="166" w:line="386" w:lineRule="auto"/>
        <w:ind w:right="359" w:firstLine="480"/>
        <w:jc w:val="center"/>
      </w:pPr>
      <w:r>
        <w:rPr>
          <w:rFonts w:hint="eastAsia"/>
        </w:rPr>
        <w:t>图表</w:t>
      </w:r>
      <w:r>
        <w:rPr>
          <w:rFonts w:hint="eastAsia"/>
          <w:lang w:val="en-US"/>
        </w:rPr>
        <w:t>2</w:t>
      </w:r>
      <w:r>
        <w:rPr>
          <w:rFonts w:hint="eastAsia"/>
        </w:rPr>
        <w:t>.1-</w:t>
      </w:r>
      <w:r>
        <w:fldChar w:fldCharType="begin"/>
      </w:r>
      <w:r>
        <w:rPr>
          <w:rFonts w:hint="eastAsia"/>
        </w:rPr>
        <w:instrText xml:space="preserve">SEQ 图表4.1- \* ARABIC</w:instrText>
      </w:r>
      <w:r>
        <w:fldChar w:fldCharType="separate"/>
      </w:r>
      <w:r>
        <w:t>1</w:t>
      </w:r>
      <w:r>
        <w:fldChar w:fldCharType="end"/>
      </w:r>
      <w:r>
        <w:rPr>
          <w:rFonts w:hint="eastAsia"/>
        </w:rPr>
        <w:t xml:space="preserve"> 公司多渠道企业文化传播</w:t>
      </w:r>
    </w:p>
    <w:p>
      <w:pPr>
        <w:pStyle w:val="4"/>
        <w:keepNext w:val="0"/>
        <w:keepLines w:val="0"/>
        <w:pageBreakBefore w:val="0"/>
        <w:widowControl w:val="0"/>
        <w:kinsoku/>
        <w:wordWrap/>
        <w:overflowPunct/>
        <w:topLinePunct w:val="0"/>
        <w:autoSpaceDE w:val="0"/>
        <w:autoSpaceDN w:val="0"/>
        <w:bidi w:val="0"/>
        <w:adjustRightInd/>
        <w:snapToGrid/>
        <w:spacing w:line="360" w:lineRule="auto"/>
        <w:ind w:left="0" w:right="0" w:firstLine="480" w:firstLineChars="200"/>
        <w:jc w:val="both"/>
        <w:textAlignment w:val="auto"/>
      </w:pPr>
      <w:r>
        <w:rPr>
          <w:rFonts w:hint="eastAsia"/>
        </w:rPr>
        <w:t>总经理希望</w:t>
      </w:r>
      <w:r>
        <w:rPr>
          <w:rFonts w:hint="eastAsia"/>
          <w:lang w:val="en-US" w:eastAsia="zh-CN"/>
        </w:rPr>
        <w:t>南腾</w:t>
      </w:r>
      <w:r>
        <w:rPr>
          <w:rFonts w:hint="eastAsia"/>
        </w:rPr>
        <w:t>优秀的企业文化能培养更多的优秀人才，继而以优秀的人才团队推动企业的快速发展，使</w:t>
      </w:r>
      <w:r>
        <w:rPr>
          <w:rFonts w:hint="eastAsia"/>
          <w:lang w:val="en-US" w:eastAsia="zh-CN"/>
        </w:rPr>
        <w:t>南腾</w:t>
      </w:r>
      <w:r>
        <w:rPr>
          <w:rFonts w:hint="eastAsia"/>
        </w:rPr>
        <w:t>早日成为</w:t>
      </w:r>
      <w:r>
        <w:rPr>
          <w:rFonts w:hint="eastAsia"/>
          <w:lang w:val="en-US" w:eastAsia="zh-CN"/>
        </w:rPr>
        <w:t>电气行业一流企业</w:t>
      </w:r>
      <w:r>
        <w:rPr>
          <w:rFonts w:hint="eastAsia"/>
        </w:rPr>
        <w:t>，早日达到既定目标，实现崇高理想。</w:t>
      </w:r>
    </w:p>
    <w:p>
      <w:pPr>
        <w:pStyle w:val="4"/>
        <w:keepNext w:val="0"/>
        <w:keepLines w:val="0"/>
        <w:pageBreakBefore w:val="0"/>
        <w:widowControl w:val="0"/>
        <w:kinsoku/>
        <w:wordWrap/>
        <w:overflowPunct/>
        <w:topLinePunct w:val="0"/>
        <w:autoSpaceDE w:val="0"/>
        <w:autoSpaceDN w:val="0"/>
        <w:bidi w:val="0"/>
        <w:adjustRightInd/>
        <w:snapToGrid/>
        <w:spacing w:line="360" w:lineRule="auto"/>
        <w:ind w:left="0" w:right="0" w:firstLine="480" w:firstLineChars="200"/>
        <w:jc w:val="center"/>
        <w:textAlignment w:val="auto"/>
      </w:pPr>
      <w:r>
        <w:rPr>
          <w:rFonts w:hint="eastAsia"/>
        </w:rPr>
        <w:t>图表</w:t>
      </w:r>
      <w:r>
        <w:rPr>
          <w:rFonts w:hint="eastAsia"/>
          <w:lang w:val="en-US"/>
        </w:rPr>
        <w:t>2</w:t>
      </w:r>
      <w:r>
        <w:rPr>
          <w:rFonts w:hint="eastAsia"/>
        </w:rPr>
        <w:t>.1-</w:t>
      </w:r>
      <w:r>
        <w:fldChar w:fldCharType="begin"/>
      </w:r>
      <w:r>
        <w:rPr>
          <w:rFonts w:hint="eastAsia"/>
        </w:rPr>
        <w:instrText xml:space="preserve">SEQ 图表4.1- \* ARABIC</w:instrText>
      </w:r>
      <w:r>
        <w:fldChar w:fldCharType="separate"/>
      </w:r>
      <w:r>
        <w:t>2</w:t>
      </w:r>
      <w:r>
        <w:fldChar w:fldCharType="end"/>
      </w:r>
      <w:r>
        <w:rPr>
          <w:rFonts w:hint="eastAsia"/>
        </w:rPr>
        <w:t xml:space="preserve"> 企业文化宣传一览表</w:t>
      </w:r>
    </w:p>
    <w:tbl>
      <w:tblPr>
        <w:tblStyle w:val="10"/>
        <w:tblW w:w="9003"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438"/>
        <w:gridCol w:w="524"/>
        <w:gridCol w:w="1840"/>
        <w:gridCol w:w="2269"/>
        <w:gridCol w:w="1721"/>
        <w:gridCol w:w="221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0" w:hRule="atLeast"/>
          <w:tblHeader/>
        </w:trPr>
        <w:tc>
          <w:tcPr>
            <w:tcW w:w="962" w:type="dxa"/>
            <w:gridSpan w:val="2"/>
            <w:tcBorders>
              <w:top w:val="single" w:color="000000" w:sz="4" w:space="0"/>
              <w:left w:val="single" w:color="000000" w:sz="4" w:space="0"/>
              <w:bottom w:val="single" w:color="000000" w:sz="4" w:space="0"/>
              <w:right w:val="single" w:color="000000" w:sz="4" w:space="0"/>
            </w:tcBorders>
            <w:shd w:val="clear" w:color="auto" w:fill="548DD4" w:themeFill="text2" w:themeFillTint="99"/>
            <w:vAlign w:val="center"/>
          </w:tcPr>
          <w:p>
            <w:pPr>
              <w:snapToGrid w:val="0"/>
              <w:jc w:val="center"/>
              <w:rPr>
                <w:rFonts w:ascii="微软雅黑" w:hAnsi="微软雅黑" w:eastAsia="微软雅黑"/>
                <w:b/>
                <w:sz w:val="21"/>
                <w:szCs w:val="21"/>
              </w:rPr>
            </w:pPr>
            <w:r>
              <w:rPr>
                <w:rFonts w:hint="eastAsia" w:ascii="微软雅黑" w:hAnsi="微软雅黑" w:eastAsia="微软雅黑"/>
                <w:b/>
                <w:sz w:val="21"/>
                <w:szCs w:val="21"/>
              </w:rPr>
              <w:t>对象</w:t>
            </w:r>
          </w:p>
        </w:tc>
        <w:tc>
          <w:tcPr>
            <w:tcW w:w="1840" w:type="dxa"/>
            <w:tcBorders>
              <w:top w:val="single" w:color="000000" w:sz="4" w:space="0"/>
              <w:left w:val="single" w:color="000000" w:sz="4" w:space="0"/>
              <w:bottom w:val="single" w:color="000000" w:sz="4" w:space="0"/>
              <w:right w:val="single" w:color="000000" w:sz="4" w:space="0"/>
            </w:tcBorders>
            <w:shd w:val="clear" w:color="auto" w:fill="548DD4" w:themeFill="text2" w:themeFillTint="99"/>
            <w:vAlign w:val="center"/>
          </w:tcPr>
          <w:p>
            <w:pPr>
              <w:snapToGrid w:val="0"/>
              <w:jc w:val="center"/>
              <w:rPr>
                <w:rFonts w:ascii="微软雅黑" w:hAnsi="微软雅黑" w:eastAsia="微软雅黑"/>
                <w:b/>
                <w:sz w:val="21"/>
                <w:szCs w:val="21"/>
              </w:rPr>
            </w:pPr>
            <w:r>
              <w:rPr>
                <w:rFonts w:hint="eastAsia" w:ascii="微软雅黑" w:hAnsi="微软雅黑" w:eastAsia="微软雅黑"/>
                <w:b/>
                <w:sz w:val="21"/>
                <w:szCs w:val="21"/>
              </w:rPr>
              <w:t>宣传渠道</w:t>
            </w:r>
          </w:p>
        </w:tc>
        <w:tc>
          <w:tcPr>
            <w:tcW w:w="2269" w:type="dxa"/>
            <w:tcBorders>
              <w:top w:val="single" w:color="000000" w:sz="4" w:space="0"/>
              <w:left w:val="single" w:color="000000" w:sz="4" w:space="0"/>
              <w:bottom w:val="single" w:color="000000" w:sz="4" w:space="0"/>
              <w:right w:val="single" w:color="000000" w:sz="4" w:space="0"/>
            </w:tcBorders>
            <w:shd w:val="clear" w:color="auto" w:fill="548DD4" w:themeFill="text2" w:themeFillTint="99"/>
            <w:vAlign w:val="center"/>
          </w:tcPr>
          <w:p>
            <w:pPr>
              <w:snapToGrid w:val="0"/>
              <w:jc w:val="center"/>
              <w:rPr>
                <w:rFonts w:ascii="微软雅黑" w:hAnsi="微软雅黑" w:eastAsia="微软雅黑"/>
                <w:b/>
                <w:sz w:val="21"/>
                <w:szCs w:val="21"/>
              </w:rPr>
            </w:pPr>
            <w:r>
              <w:rPr>
                <w:rFonts w:hint="eastAsia" w:ascii="微软雅黑" w:hAnsi="微软雅黑" w:eastAsia="微软雅黑"/>
                <w:b/>
                <w:sz w:val="21"/>
                <w:szCs w:val="21"/>
              </w:rPr>
              <w:t>宣传内容</w:t>
            </w:r>
          </w:p>
        </w:tc>
        <w:tc>
          <w:tcPr>
            <w:tcW w:w="1721" w:type="dxa"/>
            <w:tcBorders>
              <w:top w:val="single" w:color="000000" w:sz="4" w:space="0"/>
              <w:left w:val="single" w:color="000000" w:sz="4" w:space="0"/>
              <w:bottom w:val="single" w:color="000000" w:sz="4" w:space="0"/>
              <w:right w:val="single" w:color="000000" w:sz="4" w:space="0"/>
            </w:tcBorders>
            <w:shd w:val="clear" w:color="auto" w:fill="548DD4" w:themeFill="text2" w:themeFillTint="99"/>
            <w:vAlign w:val="center"/>
          </w:tcPr>
          <w:p>
            <w:pPr>
              <w:snapToGrid w:val="0"/>
              <w:jc w:val="center"/>
              <w:rPr>
                <w:rFonts w:ascii="微软雅黑" w:hAnsi="微软雅黑" w:eastAsia="微软雅黑"/>
                <w:b/>
                <w:sz w:val="21"/>
                <w:szCs w:val="21"/>
              </w:rPr>
            </w:pPr>
            <w:r>
              <w:rPr>
                <w:rFonts w:hint="eastAsia" w:ascii="微软雅黑" w:hAnsi="微软雅黑" w:eastAsia="微软雅黑"/>
                <w:b/>
                <w:sz w:val="21"/>
                <w:szCs w:val="21"/>
              </w:rPr>
              <w:t>效果</w:t>
            </w:r>
          </w:p>
        </w:tc>
        <w:tc>
          <w:tcPr>
            <w:tcW w:w="2211" w:type="dxa"/>
            <w:tcBorders>
              <w:top w:val="single" w:color="000000" w:sz="4" w:space="0"/>
              <w:left w:val="single" w:color="000000" w:sz="4" w:space="0"/>
              <w:bottom w:val="single" w:color="000000" w:sz="4" w:space="0"/>
              <w:right w:val="single" w:color="000000" w:sz="4" w:space="0"/>
            </w:tcBorders>
            <w:shd w:val="clear" w:color="auto" w:fill="548DD4" w:themeFill="text2" w:themeFillTint="99"/>
            <w:vAlign w:val="center"/>
          </w:tcPr>
          <w:p>
            <w:pPr>
              <w:snapToGrid w:val="0"/>
              <w:jc w:val="center"/>
              <w:rPr>
                <w:rFonts w:ascii="微软雅黑" w:hAnsi="微软雅黑" w:eastAsia="微软雅黑"/>
                <w:b/>
                <w:sz w:val="21"/>
                <w:szCs w:val="21"/>
              </w:rPr>
            </w:pPr>
            <w:r>
              <w:rPr>
                <w:rFonts w:hint="eastAsia" w:ascii="微软雅黑" w:hAnsi="微软雅黑" w:eastAsia="微软雅黑"/>
                <w:b/>
                <w:sz w:val="21"/>
                <w:szCs w:val="21"/>
              </w:rPr>
              <w:t>评价机制</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0" w:hRule="atLeast"/>
        </w:trPr>
        <w:tc>
          <w:tcPr>
            <w:tcW w:w="438" w:type="dxa"/>
            <w:tcBorders>
              <w:top w:val="single" w:color="000000" w:sz="4" w:space="0"/>
              <w:left w:val="single" w:color="000000" w:sz="4" w:space="0"/>
              <w:bottom w:val="single" w:color="000000" w:sz="4" w:space="0"/>
              <w:right w:val="single" w:color="auto" w:sz="4" w:space="0"/>
            </w:tcBorders>
            <w:shd w:val="clear" w:color="auto" w:fill="F2F2F2"/>
            <w:vAlign w:val="center"/>
          </w:tcPr>
          <w:p>
            <w:pPr>
              <w:snapToGrid w:val="0"/>
              <w:jc w:val="center"/>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内部</w:t>
            </w:r>
          </w:p>
        </w:tc>
        <w:tc>
          <w:tcPr>
            <w:tcW w:w="524" w:type="dxa"/>
            <w:tcBorders>
              <w:top w:val="single" w:color="000000" w:sz="4" w:space="0"/>
              <w:left w:val="single" w:color="auto" w:sz="4" w:space="0"/>
              <w:bottom w:val="single" w:color="000000" w:sz="4" w:space="0"/>
              <w:right w:val="single" w:color="000000" w:sz="4" w:space="0"/>
            </w:tcBorders>
            <w:shd w:val="clear" w:color="auto" w:fill="F2F2F2"/>
            <w:vAlign w:val="center"/>
          </w:tcPr>
          <w:p>
            <w:pPr>
              <w:snapToGrid w:val="0"/>
              <w:jc w:val="center"/>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员工</w:t>
            </w:r>
          </w:p>
        </w:tc>
        <w:tc>
          <w:tcPr>
            <w:tcW w:w="1840" w:type="dxa"/>
            <w:tcBorders>
              <w:top w:val="single" w:color="000000" w:sz="4" w:space="0"/>
              <w:left w:val="single" w:color="000000" w:sz="4" w:space="0"/>
              <w:right w:val="single" w:color="000000" w:sz="4" w:space="0"/>
            </w:tcBorders>
            <w:shd w:val="clear" w:color="auto" w:fill="F2F2F2"/>
            <w:vAlign w:val="center"/>
          </w:tcPr>
          <w:p>
            <w:pPr>
              <w:snapToGrid w:val="0"/>
              <w:jc w:val="both"/>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通讯平台、微信公众平台、年会、培训、优秀文化案例等</w:t>
            </w:r>
          </w:p>
        </w:tc>
        <w:tc>
          <w:tcPr>
            <w:tcW w:w="2269" w:type="dxa"/>
            <w:tcBorders>
              <w:top w:val="single" w:color="000000" w:sz="4" w:space="0"/>
              <w:left w:val="single" w:color="000000" w:sz="4" w:space="0"/>
              <w:right w:val="single" w:color="000000" w:sz="4" w:space="0"/>
            </w:tcBorders>
            <w:shd w:val="clear" w:color="auto" w:fill="F2F2F2"/>
            <w:vAlign w:val="center"/>
          </w:tcPr>
          <w:p>
            <w:pPr>
              <w:snapToGrid w:val="0"/>
              <w:jc w:val="both"/>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文化制度、活动展示、优秀文化案例、优秀员工事迹、高层讲文化与自身创业故事</w:t>
            </w:r>
          </w:p>
        </w:tc>
        <w:tc>
          <w:tcPr>
            <w:tcW w:w="1721" w:type="dxa"/>
            <w:tcBorders>
              <w:top w:val="single" w:color="000000" w:sz="4" w:space="0"/>
              <w:left w:val="single" w:color="000000" w:sz="4" w:space="0"/>
              <w:bottom w:val="single" w:color="000000" w:sz="4" w:space="0"/>
              <w:right w:val="single" w:color="000000" w:sz="4" w:space="0"/>
            </w:tcBorders>
            <w:shd w:val="clear" w:color="auto" w:fill="F2F2F2"/>
            <w:vAlign w:val="center"/>
          </w:tcPr>
          <w:p>
            <w:pPr>
              <w:snapToGrid w:val="0"/>
              <w:jc w:val="both"/>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提高员工企业文化认知度、认同度、满意度</w:t>
            </w:r>
          </w:p>
        </w:tc>
        <w:tc>
          <w:tcPr>
            <w:tcW w:w="2211" w:type="dxa"/>
            <w:tcBorders>
              <w:top w:val="single" w:color="000000" w:sz="4" w:space="0"/>
              <w:left w:val="single" w:color="000000" w:sz="4" w:space="0"/>
              <w:bottom w:val="single" w:color="000000" w:sz="4" w:space="0"/>
              <w:right w:val="single" w:color="000000" w:sz="4" w:space="0"/>
            </w:tcBorders>
            <w:shd w:val="clear" w:color="auto" w:fill="F2F2F2"/>
            <w:vAlign w:val="center"/>
          </w:tcPr>
          <w:p>
            <w:pPr>
              <w:snapToGrid w:val="0"/>
              <w:jc w:val="both"/>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员工满意度调查、标杆员工等</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0" w:hRule="atLeast"/>
        </w:trPr>
        <w:tc>
          <w:tcPr>
            <w:tcW w:w="438" w:type="dxa"/>
            <w:vMerge w:val="restart"/>
            <w:tcBorders>
              <w:top w:val="single" w:color="000000" w:sz="4" w:space="0"/>
              <w:left w:val="single" w:color="000000" w:sz="4" w:space="0"/>
              <w:bottom w:val="single" w:color="000000" w:sz="4" w:space="0"/>
              <w:right w:val="single" w:color="auto" w:sz="4" w:space="0"/>
            </w:tcBorders>
            <w:shd w:val="clear" w:color="auto" w:fill="F2F2F2"/>
            <w:vAlign w:val="center"/>
          </w:tcPr>
          <w:p>
            <w:pPr>
              <w:snapToGrid w:val="0"/>
              <w:jc w:val="center"/>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外部</w:t>
            </w:r>
          </w:p>
        </w:tc>
        <w:tc>
          <w:tcPr>
            <w:tcW w:w="524" w:type="dxa"/>
            <w:tcBorders>
              <w:top w:val="single" w:color="000000" w:sz="4" w:space="0"/>
              <w:left w:val="single" w:color="auto" w:sz="4" w:space="0"/>
              <w:bottom w:val="single" w:color="000000" w:sz="4" w:space="0"/>
              <w:right w:val="single" w:color="000000" w:sz="4" w:space="0"/>
            </w:tcBorders>
            <w:shd w:val="clear" w:color="auto" w:fill="F2F2F2"/>
            <w:vAlign w:val="center"/>
          </w:tcPr>
          <w:p>
            <w:pPr>
              <w:snapToGrid w:val="0"/>
              <w:jc w:val="center"/>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顾客</w:t>
            </w:r>
          </w:p>
        </w:tc>
        <w:tc>
          <w:tcPr>
            <w:tcW w:w="1840" w:type="dxa"/>
            <w:tcBorders>
              <w:top w:val="single" w:color="000000" w:sz="4" w:space="0"/>
              <w:left w:val="single" w:color="000000" w:sz="4" w:space="0"/>
              <w:right w:val="single" w:color="000000" w:sz="4" w:space="0"/>
            </w:tcBorders>
            <w:shd w:val="clear" w:color="auto" w:fill="F2F2F2"/>
            <w:vAlign w:val="center"/>
          </w:tcPr>
          <w:p>
            <w:pPr>
              <w:snapToGrid w:val="0"/>
              <w:jc w:val="both"/>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展示厅、文化墙、文化案例传播、员工培训等</w:t>
            </w:r>
          </w:p>
        </w:tc>
        <w:tc>
          <w:tcPr>
            <w:tcW w:w="2269" w:type="dxa"/>
            <w:tcBorders>
              <w:top w:val="single" w:color="000000" w:sz="4" w:space="0"/>
              <w:left w:val="single" w:color="000000" w:sz="4" w:space="0"/>
              <w:right w:val="single" w:color="000000" w:sz="4" w:space="0"/>
            </w:tcBorders>
            <w:shd w:val="clear" w:color="auto" w:fill="F2F2F2"/>
            <w:vAlign w:val="center"/>
          </w:tcPr>
          <w:p>
            <w:pPr>
              <w:snapToGrid w:val="0"/>
              <w:jc w:val="both"/>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文化动态、优秀文化案例、文化讲解、成果展示</w:t>
            </w:r>
          </w:p>
        </w:tc>
        <w:tc>
          <w:tcPr>
            <w:tcW w:w="1721" w:type="dxa"/>
            <w:tcBorders>
              <w:top w:val="single" w:color="000000" w:sz="4" w:space="0"/>
              <w:left w:val="single" w:color="000000" w:sz="4" w:space="0"/>
              <w:bottom w:val="single" w:color="000000" w:sz="4" w:space="0"/>
              <w:right w:val="single" w:color="000000" w:sz="4" w:space="0"/>
            </w:tcBorders>
            <w:shd w:val="clear" w:color="auto" w:fill="F2F2F2"/>
            <w:vAlign w:val="center"/>
          </w:tcPr>
          <w:p>
            <w:pPr>
              <w:snapToGrid w:val="0"/>
              <w:jc w:val="both"/>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提高客户公司文化认同度</w:t>
            </w:r>
          </w:p>
        </w:tc>
        <w:tc>
          <w:tcPr>
            <w:tcW w:w="2211" w:type="dxa"/>
            <w:tcBorders>
              <w:top w:val="single" w:color="000000" w:sz="4" w:space="0"/>
              <w:left w:val="single" w:color="000000" w:sz="4" w:space="0"/>
              <w:bottom w:val="single" w:color="000000" w:sz="4" w:space="0"/>
              <w:right w:val="single" w:color="000000" w:sz="4" w:space="0"/>
            </w:tcBorders>
            <w:shd w:val="clear" w:color="auto" w:fill="F2F2F2"/>
            <w:vAlign w:val="center"/>
          </w:tcPr>
          <w:p>
            <w:pPr>
              <w:snapToGrid w:val="0"/>
              <w:jc w:val="both"/>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满意度调查、企业文化认同等</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0" w:hRule="atLeast"/>
        </w:trPr>
        <w:tc>
          <w:tcPr>
            <w:tcW w:w="438" w:type="dxa"/>
            <w:vMerge w:val="continue"/>
            <w:tcBorders>
              <w:top w:val="single" w:color="000000" w:sz="4" w:space="0"/>
              <w:left w:val="single" w:color="000000" w:sz="4" w:space="0"/>
              <w:bottom w:val="single" w:color="000000" w:sz="4" w:space="0"/>
              <w:right w:val="single" w:color="auto" w:sz="4" w:space="0"/>
            </w:tcBorders>
            <w:shd w:val="clear" w:color="auto" w:fill="F2F2F2"/>
            <w:vAlign w:val="center"/>
          </w:tcPr>
          <w:p>
            <w:pPr>
              <w:snapToGrid w:val="0"/>
              <w:jc w:val="center"/>
              <w:rPr>
                <w:rFonts w:asciiTheme="minorEastAsia" w:hAnsiTheme="minorEastAsia" w:eastAsiaTheme="minorEastAsia" w:cstheme="minorEastAsia"/>
                <w:sz w:val="21"/>
                <w:szCs w:val="21"/>
              </w:rPr>
            </w:pPr>
          </w:p>
        </w:tc>
        <w:tc>
          <w:tcPr>
            <w:tcW w:w="524" w:type="dxa"/>
            <w:tcBorders>
              <w:top w:val="single" w:color="000000" w:sz="4" w:space="0"/>
              <w:left w:val="single" w:color="auto" w:sz="4" w:space="0"/>
              <w:bottom w:val="single" w:color="000000" w:sz="4" w:space="0"/>
              <w:right w:val="single" w:color="000000" w:sz="4" w:space="0"/>
            </w:tcBorders>
            <w:shd w:val="clear" w:color="auto" w:fill="F2F2F2"/>
            <w:vAlign w:val="center"/>
          </w:tcPr>
          <w:p>
            <w:pPr>
              <w:snapToGrid w:val="0"/>
              <w:jc w:val="center"/>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供方</w:t>
            </w:r>
          </w:p>
        </w:tc>
        <w:tc>
          <w:tcPr>
            <w:tcW w:w="1840" w:type="dxa"/>
            <w:tcBorders>
              <w:top w:val="single" w:color="000000" w:sz="4" w:space="0"/>
              <w:left w:val="single" w:color="000000" w:sz="4" w:space="0"/>
              <w:bottom w:val="single" w:color="000000" w:sz="4" w:space="0"/>
              <w:right w:val="single" w:color="000000" w:sz="4" w:space="0"/>
            </w:tcBorders>
            <w:shd w:val="clear" w:color="auto" w:fill="F2F2F2"/>
            <w:vAlign w:val="center"/>
          </w:tcPr>
          <w:p>
            <w:pPr>
              <w:snapToGrid w:val="0"/>
              <w:jc w:val="both"/>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微信公众号、供应商会等</w:t>
            </w:r>
          </w:p>
        </w:tc>
        <w:tc>
          <w:tcPr>
            <w:tcW w:w="2269" w:type="dxa"/>
            <w:tcBorders>
              <w:top w:val="single" w:color="000000" w:sz="4" w:space="0"/>
              <w:left w:val="single" w:color="000000" w:sz="4" w:space="0"/>
              <w:bottom w:val="single" w:color="000000" w:sz="4" w:space="0"/>
              <w:right w:val="single" w:color="000000" w:sz="4" w:space="0"/>
            </w:tcBorders>
            <w:shd w:val="clear" w:color="auto" w:fill="F2F2F2"/>
            <w:vAlign w:val="center"/>
          </w:tcPr>
          <w:p>
            <w:pPr>
              <w:snapToGrid w:val="0"/>
              <w:jc w:val="both"/>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质量文化、效率文化</w:t>
            </w:r>
          </w:p>
        </w:tc>
        <w:tc>
          <w:tcPr>
            <w:tcW w:w="1721" w:type="dxa"/>
            <w:tcBorders>
              <w:top w:val="single" w:color="000000" w:sz="4" w:space="0"/>
              <w:left w:val="single" w:color="000000" w:sz="4" w:space="0"/>
              <w:bottom w:val="single" w:color="000000" w:sz="4" w:space="0"/>
              <w:right w:val="single" w:color="000000" w:sz="4" w:space="0"/>
            </w:tcBorders>
            <w:shd w:val="clear" w:color="auto" w:fill="F2F2F2"/>
            <w:vAlign w:val="center"/>
          </w:tcPr>
          <w:p>
            <w:pPr>
              <w:snapToGrid w:val="0"/>
              <w:jc w:val="both"/>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 xml:space="preserve">质量承诺书的签订 </w:t>
            </w:r>
          </w:p>
        </w:tc>
        <w:tc>
          <w:tcPr>
            <w:tcW w:w="2211" w:type="dxa"/>
            <w:tcBorders>
              <w:top w:val="single" w:color="000000" w:sz="4" w:space="0"/>
              <w:left w:val="single" w:color="000000" w:sz="4" w:space="0"/>
              <w:bottom w:val="single" w:color="000000" w:sz="4" w:space="0"/>
              <w:right w:val="single" w:color="000000" w:sz="4" w:space="0"/>
            </w:tcBorders>
            <w:shd w:val="clear" w:color="auto" w:fill="F2F2F2"/>
            <w:vAlign w:val="center"/>
          </w:tcPr>
          <w:p>
            <w:pPr>
              <w:snapToGrid w:val="0"/>
              <w:jc w:val="both"/>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提高交付效率和质量、文化落地情况和效果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0" w:hRule="atLeast"/>
        </w:trPr>
        <w:tc>
          <w:tcPr>
            <w:tcW w:w="438" w:type="dxa"/>
            <w:vMerge w:val="continue"/>
            <w:tcBorders>
              <w:top w:val="single" w:color="000000" w:sz="4" w:space="0"/>
              <w:left w:val="single" w:color="000000" w:sz="4" w:space="0"/>
              <w:bottom w:val="single" w:color="000000" w:sz="4" w:space="0"/>
              <w:right w:val="single" w:color="auto" w:sz="4" w:space="0"/>
            </w:tcBorders>
            <w:shd w:val="clear" w:color="auto" w:fill="F2F2F2"/>
            <w:vAlign w:val="center"/>
          </w:tcPr>
          <w:p>
            <w:pPr>
              <w:snapToGrid w:val="0"/>
              <w:jc w:val="center"/>
              <w:rPr>
                <w:rFonts w:asciiTheme="minorEastAsia" w:hAnsiTheme="minorEastAsia" w:eastAsiaTheme="minorEastAsia" w:cstheme="minorEastAsia"/>
                <w:sz w:val="21"/>
                <w:szCs w:val="21"/>
              </w:rPr>
            </w:pPr>
          </w:p>
        </w:tc>
        <w:tc>
          <w:tcPr>
            <w:tcW w:w="524" w:type="dxa"/>
            <w:tcBorders>
              <w:top w:val="single" w:color="000000" w:sz="4" w:space="0"/>
              <w:left w:val="single" w:color="auto" w:sz="4" w:space="0"/>
              <w:bottom w:val="single" w:color="000000" w:sz="4" w:space="0"/>
              <w:right w:val="single" w:color="000000" w:sz="4" w:space="0"/>
            </w:tcBorders>
            <w:shd w:val="clear" w:color="auto" w:fill="F2F2F2"/>
            <w:vAlign w:val="center"/>
          </w:tcPr>
          <w:p>
            <w:pPr>
              <w:snapToGrid w:val="0"/>
              <w:jc w:val="center"/>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社会</w:t>
            </w:r>
          </w:p>
        </w:tc>
        <w:tc>
          <w:tcPr>
            <w:tcW w:w="1840" w:type="dxa"/>
            <w:tcBorders>
              <w:top w:val="single" w:color="000000" w:sz="4" w:space="0"/>
              <w:left w:val="single" w:color="000000" w:sz="4" w:space="0"/>
              <w:bottom w:val="single" w:color="000000" w:sz="4" w:space="0"/>
              <w:right w:val="single" w:color="000000" w:sz="4" w:space="0"/>
            </w:tcBorders>
            <w:shd w:val="clear" w:color="auto" w:fill="F2F2F2"/>
            <w:vAlign w:val="center"/>
          </w:tcPr>
          <w:p>
            <w:pPr>
              <w:snapToGrid w:val="0"/>
              <w:jc w:val="both"/>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文化交流、企业文化交流等</w:t>
            </w:r>
          </w:p>
        </w:tc>
        <w:tc>
          <w:tcPr>
            <w:tcW w:w="2269" w:type="dxa"/>
            <w:tcBorders>
              <w:top w:val="single" w:color="000000" w:sz="4" w:space="0"/>
              <w:left w:val="single" w:color="000000" w:sz="4" w:space="0"/>
              <w:bottom w:val="single" w:color="000000" w:sz="4" w:space="0"/>
              <w:right w:val="single" w:color="000000" w:sz="4" w:space="0"/>
            </w:tcBorders>
            <w:shd w:val="clear" w:color="auto" w:fill="F2F2F2"/>
            <w:vAlign w:val="center"/>
          </w:tcPr>
          <w:p>
            <w:pPr>
              <w:snapToGrid w:val="0"/>
              <w:jc w:val="both"/>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社会贡献、企业使命、企业愿景、党建文化</w:t>
            </w:r>
          </w:p>
        </w:tc>
        <w:tc>
          <w:tcPr>
            <w:tcW w:w="1721" w:type="dxa"/>
            <w:tcBorders>
              <w:top w:val="single" w:color="000000" w:sz="4" w:space="0"/>
              <w:left w:val="single" w:color="000000" w:sz="4" w:space="0"/>
              <w:bottom w:val="single" w:color="000000" w:sz="4" w:space="0"/>
              <w:right w:val="single" w:color="000000" w:sz="4" w:space="0"/>
            </w:tcBorders>
            <w:shd w:val="clear" w:color="auto" w:fill="F2F2F2"/>
            <w:vAlign w:val="center"/>
          </w:tcPr>
          <w:p>
            <w:pPr>
              <w:snapToGrid w:val="0"/>
              <w:jc w:val="both"/>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文化之旅、党建文化访问、企业文化访问</w:t>
            </w:r>
          </w:p>
        </w:tc>
        <w:tc>
          <w:tcPr>
            <w:tcW w:w="2211" w:type="dxa"/>
            <w:tcBorders>
              <w:top w:val="single" w:color="000000" w:sz="4" w:space="0"/>
              <w:left w:val="single" w:color="000000" w:sz="4" w:space="0"/>
              <w:bottom w:val="single" w:color="000000" w:sz="4" w:space="0"/>
              <w:right w:val="single" w:color="000000" w:sz="4" w:space="0"/>
            </w:tcBorders>
            <w:shd w:val="clear" w:color="auto" w:fill="F2F2F2"/>
            <w:vAlign w:val="center"/>
          </w:tcPr>
          <w:p>
            <w:pPr>
              <w:snapToGrid w:val="0"/>
              <w:jc w:val="both"/>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提升社会知名度、交流接待数量</w:t>
            </w:r>
          </w:p>
        </w:tc>
      </w:tr>
    </w:tbl>
    <w:p>
      <w:pPr>
        <w:pStyle w:val="4"/>
        <w:spacing w:before="166" w:line="386" w:lineRule="auto"/>
        <w:ind w:right="359" w:firstLine="480"/>
        <w:jc w:val="both"/>
      </w:pPr>
      <w:r>
        <w:rPr>
          <w:rFonts w:hint="eastAsia"/>
        </w:rPr>
        <w:t>公司将“企业文化培训”作为新员工入职学习内容之一，每年由高层领导亲自讲解和引导；公司通过宣传海报、微信公众号、企业文化手册、丰富多彩的企业文化活动等方式，将核心文化传播至各层次、各部门，营造浓郁的企业文化氛围。</w:t>
      </w:r>
    </w:p>
    <w:p>
      <w:pPr>
        <w:pStyle w:val="4"/>
        <w:keepNext w:val="0"/>
        <w:keepLines w:val="0"/>
        <w:pageBreakBefore w:val="0"/>
        <w:widowControl w:val="0"/>
        <w:kinsoku/>
        <w:wordWrap/>
        <w:overflowPunct/>
        <w:topLinePunct w:val="0"/>
        <w:autoSpaceDE w:val="0"/>
        <w:autoSpaceDN w:val="0"/>
        <w:bidi w:val="0"/>
        <w:adjustRightInd/>
        <w:snapToGrid/>
        <w:spacing w:line="360" w:lineRule="auto"/>
        <w:ind w:left="0" w:right="0" w:firstLine="480" w:firstLineChars="200"/>
        <w:jc w:val="both"/>
        <w:textAlignment w:val="auto"/>
      </w:pPr>
      <w:r>
        <w:rPr>
          <w:rFonts w:hint="eastAsia"/>
          <w:lang w:val="en-US" w:eastAsia="zh-CN"/>
        </w:rPr>
        <w:t>2、</w:t>
      </w:r>
      <w:r>
        <w:rPr>
          <w:rFonts w:hint="eastAsia"/>
        </w:rPr>
        <w:t>与相关方进行沟通，激励员工以强化组织的方向和重点</w:t>
      </w:r>
    </w:p>
    <w:p>
      <w:pPr>
        <w:pStyle w:val="4"/>
        <w:keepNext w:val="0"/>
        <w:keepLines w:val="0"/>
        <w:pageBreakBefore w:val="0"/>
        <w:widowControl w:val="0"/>
        <w:kinsoku/>
        <w:wordWrap/>
        <w:overflowPunct/>
        <w:topLinePunct w:val="0"/>
        <w:autoSpaceDE w:val="0"/>
        <w:autoSpaceDN w:val="0"/>
        <w:bidi w:val="0"/>
        <w:adjustRightInd/>
        <w:snapToGrid/>
        <w:spacing w:line="360" w:lineRule="auto"/>
        <w:ind w:left="0" w:right="0" w:firstLine="480" w:firstLineChars="200"/>
        <w:jc w:val="both"/>
        <w:textAlignment w:val="auto"/>
      </w:pPr>
      <w:r>
        <w:rPr>
          <w:rFonts w:hint="eastAsia"/>
        </w:rPr>
        <w:t>1）加强与员工及其他相关方的沟通</w:t>
      </w:r>
    </w:p>
    <w:p>
      <w:pPr>
        <w:pStyle w:val="4"/>
        <w:spacing w:before="166" w:line="386" w:lineRule="auto"/>
        <w:ind w:right="359" w:firstLine="480"/>
        <w:jc w:val="both"/>
      </w:pPr>
      <w:r>
        <w:rPr>
          <w:rFonts w:hint="eastAsia"/>
        </w:rPr>
        <w:t>公司通过多种方式向员工、客户、供应商等利益相关方传播企业文化，激励企业全员为实现公司战略目标而努力，也促使相关方充分理解公司经营理念。</w:t>
      </w:r>
    </w:p>
    <w:p>
      <w:pPr>
        <w:pStyle w:val="4"/>
        <w:keepNext w:val="0"/>
        <w:keepLines w:val="0"/>
        <w:pageBreakBefore w:val="0"/>
        <w:widowControl w:val="0"/>
        <w:kinsoku/>
        <w:wordWrap/>
        <w:overflowPunct/>
        <w:topLinePunct w:val="0"/>
        <w:autoSpaceDE w:val="0"/>
        <w:autoSpaceDN w:val="0"/>
        <w:bidi w:val="0"/>
        <w:adjustRightInd w:val="0"/>
        <w:snapToGrid w:val="0"/>
        <w:spacing w:line="360" w:lineRule="auto"/>
        <w:ind w:left="0" w:right="0" w:firstLine="420" w:firstLineChars="200"/>
        <w:jc w:val="center"/>
        <w:textAlignment w:val="auto"/>
        <w:rPr>
          <w:sz w:val="21"/>
          <w:szCs w:val="21"/>
        </w:rPr>
      </w:pPr>
      <w:r>
        <w:rPr>
          <w:rFonts w:hint="eastAsia"/>
          <w:sz w:val="21"/>
          <w:szCs w:val="21"/>
        </w:rPr>
        <w:t>表</w:t>
      </w:r>
      <w:r>
        <w:rPr>
          <w:rFonts w:hint="eastAsia"/>
          <w:sz w:val="21"/>
          <w:szCs w:val="21"/>
          <w:lang w:val="en-US"/>
        </w:rPr>
        <w:t>2</w:t>
      </w:r>
      <w:r>
        <w:rPr>
          <w:rFonts w:hint="eastAsia"/>
          <w:sz w:val="21"/>
          <w:szCs w:val="21"/>
        </w:rPr>
        <w:t>.1-</w:t>
      </w:r>
      <w:r>
        <w:rPr>
          <w:sz w:val="21"/>
          <w:szCs w:val="21"/>
        </w:rPr>
        <w:fldChar w:fldCharType="begin"/>
      </w:r>
      <w:r>
        <w:rPr>
          <w:rFonts w:hint="eastAsia"/>
          <w:sz w:val="21"/>
          <w:szCs w:val="21"/>
        </w:rPr>
        <w:instrText xml:space="preserve">SEQ 图表4.1- \* ARABIC</w:instrText>
      </w:r>
      <w:r>
        <w:rPr>
          <w:sz w:val="21"/>
          <w:szCs w:val="21"/>
        </w:rPr>
        <w:fldChar w:fldCharType="separate"/>
      </w:r>
      <w:r>
        <w:rPr>
          <w:sz w:val="21"/>
          <w:szCs w:val="21"/>
        </w:rPr>
        <w:t>3</w:t>
      </w:r>
      <w:r>
        <w:rPr>
          <w:sz w:val="21"/>
          <w:szCs w:val="21"/>
        </w:rPr>
        <w:fldChar w:fldCharType="end"/>
      </w:r>
      <w:r>
        <w:rPr>
          <w:rFonts w:hint="eastAsia"/>
          <w:sz w:val="21"/>
          <w:szCs w:val="21"/>
        </w:rPr>
        <w:t xml:space="preserve"> 公司与相关方双向沟通方式</w:t>
      </w:r>
    </w:p>
    <w:tbl>
      <w:tblPr>
        <w:tblStyle w:val="10"/>
        <w:tblW w:w="900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01"/>
        <w:gridCol w:w="790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blHeader/>
          <w:jc w:val="center"/>
        </w:trPr>
        <w:tc>
          <w:tcPr>
            <w:tcW w:w="1101" w:type="dxa"/>
            <w:shd w:val="clear" w:color="auto" w:fill="548DD4" w:themeFill="text2" w:themeFillTint="99"/>
            <w:vAlign w:val="center"/>
          </w:tcPr>
          <w:p>
            <w:pPr>
              <w:jc w:val="center"/>
              <w:rPr>
                <w:rFonts w:ascii="微软雅黑" w:hAnsi="微软雅黑" w:eastAsia="微软雅黑" w:cs="Calibri"/>
                <w:b/>
                <w:sz w:val="21"/>
                <w:szCs w:val="21"/>
              </w:rPr>
            </w:pPr>
            <w:r>
              <w:rPr>
                <w:rFonts w:hint="eastAsia" w:ascii="微软雅黑" w:hAnsi="微软雅黑" w:eastAsia="微软雅黑" w:cs="Calibri"/>
                <w:b/>
                <w:sz w:val="21"/>
                <w:szCs w:val="21"/>
              </w:rPr>
              <w:t>对象</w:t>
            </w:r>
          </w:p>
        </w:tc>
        <w:tc>
          <w:tcPr>
            <w:tcW w:w="7902" w:type="dxa"/>
            <w:shd w:val="clear" w:color="auto" w:fill="548DD4" w:themeFill="text2" w:themeFillTint="99"/>
            <w:vAlign w:val="center"/>
          </w:tcPr>
          <w:p>
            <w:pPr>
              <w:jc w:val="center"/>
              <w:rPr>
                <w:rFonts w:ascii="微软雅黑" w:hAnsi="微软雅黑" w:eastAsia="微软雅黑" w:cs="Calibri"/>
                <w:b/>
                <w:sz w:val="21"/>
                <w:szCs w:val="21"/>
              </w:rPr>
            </w:pPr>
            <w:r>
              <w:rPr>
                <w:rFonts w:hint="eastAsia" w:ascii="微软雅黑" w:hAnsi="微软雅黑" w:eastAsia="微软雅黑" w:cs="Calibri"/>
                <w:b/>
                <w:sz w:val="21"/>
                <w:szCs w:val="21"/>
              </w:rPr>
              <w:t>沟通方式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101" w:type="dxa"/>
            <w:vMerge w:val="restart"/>
            <w:shd w:val="clear" w:color="auto" w:fill="F2F2F2"/>
            <w:vAlign w:val="center"/>
          </w:tcPr>
          <w:p>
            <w:pPr>
              <w:jc w:val="center"/>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员工</w:t>
            </w:r>
          </w:p>
        </w:tc>
        <w:tc>
          <w:tcPr>
            <w:tcW w:w="7902" w:type="dxa"/>
            <w:shd w:val="clear" w:color="auto" w:fill="F2F2F2"/>
            <w:vAlign w:val="center"/>
          </w:tcPr>
          <w:p>
            <w:pPr>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公司网站、《员工手册》、企业宣传册、企业文化墙、公司展厅、宣传片、宣传窗等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101" w:type="dxa"/>
            <w:vMerge w:val="continue"/>
            <w:shd w:val="clear" w:color="auto" w:fill="F2F2F2"/>
          </w:tcPr>
          <w:p>
            <w:pPr>
              <w:rPr>
                <w:rFonts w:asciiTheme="minorEastAsia" w:hAnsiTheme="minorEastAsia" w:eastAsiaTheme="minorEastAsia" w:cstheme="minorEastAsia"/>
                <w:sz w:val="21"/>
                <w:szCs w:val="21"/>
              </w:rPr>
            </w:pPr>
          </w:p>
        </w:tc>
        <w:tc>
          <w:tcPr>
            <w:tcW w:w="7902" w:type="dxa"/>
            <w:shd w:val="clear" w:color="auto" w:fill="F2F2F2"/>
            <w:vAlign w:val="center"/>
          </w:tcPr>
          <w:p>
            <w:pPr>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电话、QQ、微信平台、电子邮件系统等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101" w:type="dxa"/>
            <w:vMerge w:val="continue"/>
            <w:shd w:val="clear" w:color="auto" w:fill="F2F2F2"/>
          </w:tcPr>
          <w:p>
            <w:pPr>
              <w:rPr>
                <w:rFonts w:asciiTheme="minorEastAsia" w:hAnsiTheme="minorEastAsia" w:eastAsiaTheme="minorEastAsia" w:cstheme="minorEastAsia"/>
                <w:sz w:val="21"/>
                <w:szCs w:val="21"/>
              </w:rPr>
            </w:pPr>
          </w:p>
        </w:tc>
        <w:tc>
          <w:tcPr>
            <w:tcW w:w="7902" w:type="dxa"/>
            <w:shd w:val="clear" w:color="auto" w:fill="F2F2F2"/>
            <w:vAlign w:val="center"/>
          </w:tcPr>
          <w:p>
            <w:pPr>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新员工入职培训、企业文化培训、素质拓展训练、专业培训、技能培训等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101" w:type="dxa"/>
            <w:vMerge w:val="continue"/>
            <w:shd w:val="clear" w:color="auto" w:fill="F2F2F2"/>
          </w:tcPr>
          <w:p>
            <w:pPr>
              <w:rPr>
                <w:rFonts w:asciiTheme="minorEastAsia" w:hAnsiTheme="minorEastAsia" w:eastAsiaTheme="minorEastAsia" w:cstheme="minorEastAsia"/>
                <w:sz w:val="21"/>
                <w:szCs w:val="21"/>
              </w:rPr>
            </w:pPr>
          </w:p>
        </w:tc>
        <w:tc>
          <w:tcPr>
            <w:tcW w:w="7902" w:type="dxa"/>
            <w:shd w:val="clear" w:color="auto" w:fill="F2F2F2"/>
            <w:vAlign w:val="center"/>
          </w:tcPr>
          <w:p>
            <w:pPr>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职工活动、联谊活动、文艺活动、旅游活动、公益活动等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101" w:type="dxa"/>
            <w:vMerge w:val="continue"/>
            <w:shd w:val="clear" w:color="auto" w:fill="F2F2F2"/>
          </w:tcPr>
          <w:p>
            <w:pPr>
              <w:rPr>
                <w:rFonts w:asciiTheme="minorEastAsia" w:hAnsiTheme="minorEastAsia" w:eastAsiaTheme="minorEastAsia" w:cstheme="minorEastAsia"/>
                <w:sz w:val="21"/>
                <w:szCs w:val="21"/>
              </w:rPr>
            </w:pPr>
          </w:p>
        </w:tc>
        <w:tc>
          <w:tcPr>
            <w:tcW w:w="7902" w:type="dxa"/>
            <w:shd w:val="clear" w:color="auto" w:fill="F2F2F2"/>
            <w:vAlign w:val="center"/>
          </w:tcPr>
          <w:p>
            <w:pPr>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周例会、生产例会、营销例会、月度总结大会、年度总结大会等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101" w:type="dxa"/>
            <w:shd w:val="clear" w:color="auto" w:fill="F2F2F2"/>
            <w:vAlign w:val="center"/>
          </w:tcPr>
          <w:p>
            <w:pPr>
              <w:jc w:val="center"/>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顾客</w:t>
            </w:r>
          </w:p>
        </w:tc>
        <w:tc>
          <w:tcPr>
            <w:tcW w:w="7902" w:type="dxa"/>
            <w:shd w:val="clear" w:color="auto" w:fill="F2F2F2"/>
            <w:vAlign w:val="center"/>
          </w:tcPr>
          <w:p>
            <w:pPr>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网站、展会沟通、企业宣传册、广告宣传、传真、电子邮件、新闻媒体、行业杂志、客户服务热线、、现场走访等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101" w:type="dxa"/>
            <w:shd w:val="clear" w:color="auto" w:fill="F2F2F2"/>
            <w:vAlign w:val="center"/>
          </w:tcPr>
          <w:p>
            <w:pPr>
              <w:jc w:val="center"/>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供应商</w:t>
            </w:r>
          </w:p>
        </w:tc>
        <w:tc>
          <w:tcPr>
            <w:tcW w:w="7902" w:type="dxa"/>
            <w:shd w:val="clear" w:color="auto" w:fill="F2F2F2"/>
            <w:vAlign w:val="center"/>
          </w:tcPr>
          <w:p>
            <w:pPr>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供应商实地考察、供应商评选、供应商会议、电话沟通、电子邮件等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101" w:type="dxa"/>
            <w:shd w:val="clear" w:color="auto" w:fill="F2F2F2"/>
            <w:vAlign w:val="center"/>
          </w:tcPr>
          <w:p>
            <w:pPr>
              <w:jc w:val="center"/>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 xml:space="preserve">合作伙伴 </w:t>
            </w:r>
          </w:p>
        </w:tc>
        <w:tc>
          <w:tcPr>
            <w:tcW w:w="7902" w:type="dxa"/>
            <w:shd w:val="clear" w:color="auto" w:fill="F2F2F2"/>
            <w:vAlign w:val="center"/>
          </w:tcPr>
          <w:p>
            <w:pPr>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网站、新闻媒体、行业协会活动、项目开发等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101" w:type="dxa"/>
            <w:shd w:val="clear" w:color="auto" w:fill="F2F2F2"/>
            <w:vAlign w:val="center"/>
          </w:tcPr>
          <w:p>
            <w:pPr>
              <w:jc w:val="center"/>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政府</w:t>
            </w:r>
          </w:p>
          <w:p>
            <w:pPr>
              <w:jc w:val="center"/>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公众</w:t>
            </w:r>
          </w:p>
        </w:tc>
        <w:tc>
          <w:tcPr>
            <w:tcW w:w="7902" w:type="dxa"/>
            <w:shd w:val="clear" w:color="auto" w:fill="F2F2F2"/>
            <w:vAlign w:val="center"/>
          </w:tcPr>
          <w:p>
            <w:pPr>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工作汇报、项目评审、参观指导、接待相关人员来访、参加公益活动、慈善捐赠等、</w:t>
            </w:r>
          </w:p>
          <w:p>
            <w:pPr>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网站、企业刊物、宣传册、宣传片等</w:t>
            </w:r>
          </w:p>
        </w:tc>
      </w:tr>
    </w:tbl>
    <w:p>
      <w:pPr>
        <w:pStyle w:val="4"/>
        <w:keepNext w:val="0"/>
        <w:keepLines w:val="0"/>
        <w:pageBreakBefore w:val="0"/>
        <w:widowControl w:val="0"/>
        <w:kinsoku/>
        <w:wordWrap/>
        <w:overflowPunct/>
        <w:topLinePunct w:val="0"/>
        <w:autoSpaceDE w:val="0"/>
        <w:autoSpaceDN w:val="0"/>
        <w:bidi w:val="0"/>
        <w:adjustRightInd/>
        <w:snapToGrid/>
        <w:spacing w:line="360" w:lineRule="auto"/>
        <w:ind w:left="0" w:right="0" w:firstLine="480" w:firstLineChars="200"/>
        <w:jc w:val="both"/>
        <w:textAlignment w:val="auto"/>
      </w:pPr>
      <w:r>
        <w:rPr>
          <w:rFonts w:hint="eastAsia"/>
        </w:rPr>
        <w:t>2）激励员工以强化组织发展</w:t>
      </w:r>
    </w:p>
    <w:p>
      <w:pPr>
        <w:pStyle w:val="4"/>
        <w:keepNext w:val="0"/>
        <w:keepLines w:val="0"/>
        <w:pageBreakBefore w:val="0"/>
        <w:widowControl w:val="0"/>
        <w:kinsoku/>
        <w:wordWrap/>
        <w:overflowPunct/>
        <w:topLinePunct w:val="0"/>
        <w:autoSpaceDE w:val="0"/>
        <w:autoSpaceDN w:val="0"/>
        <w:bidi w:val="0"/>
        <w:adjustRightInd/>
        <w:snapToGrid/>
        <w:spacing w:line="360" w:lineRule="auto"/>
        <w:ind w:left="0" w:right="0" w:firstLine="480" w:firstLineChars="200"/>
        <w:jc w:val="both"/>
        <w:textAlignment w:val="auto"/>
      </w:pPr>
      <w:r>
        <w:rPr>
          <w:rFonts w:hint="eastAsia"/>
        </w:rPr>
        <w:t>为了激励员工的正确行为，公司从文化、制度和活动多方面进行了激励，鼓励员工的行为符合公司发展方向。</w:t>
      </w:r>
    </w:p>
    <w:p>
      <w:pPr>
        <w:keepNext w:val="0"/>
        <w:keepLines w:val="0"/>
        <w:pageBreakBefore w:val="0"/>
        <w:widowControl w:val="0"/>
        <w:kinsoku/>
        <w:wordWrap/>
        <w:overflowPunct/>
        <w:topLinePunct w:val="0"/>
        <w:autoSpaceDE w:val="0"/>
        <w:autoSpaceDN w:val="0"/>
        <w:bidi w:val="0"/>
        <w:adjustRightInd w:val="0"/>
        <w:snapToGrid/>
        <w:spacing w:line="360" w:lineRule="auto"/>
        <w:ind w:left="0" w:right="0" w:firstLine="480" w:firstLineChars="200"/>
        <w:textAlignment w:val="auto"/>
        <w:rPr>
          <w:sz w:val="24"/>
          <w:szCs w:val="24"/>
          <w:highlight w:val="none"/>
        </w:rPr>
      </w:pPr>
      <w:r>
        <w:rPr>
          <w:rFonts w:hint="eastAsia"/>
          <w:sz w:val="24"/>
          <w:szCs w:val="24"/>
          <w:highlight w:val="none"/>
        </w:rPr>
        <w:t>文化激励：</w:t>
      </w:r>
      <w:r>
        <w:rPr>
          <w:rFonts w:hint="eastAsia"/>
          <w:sz w:val="24"/>
          <w:szCs w:val="24"/>
          <w:highlight w:val="none"/>
          <w:lang w:val="en-US" w:eastAsia="zh-CN"/>
        </w:rPr>
        <w:t>南腾</w:t>
      </w:r>
      <w:r>
        <w:rPr>
          <w:rFonts w:hint="eastAsia"/>
          <w:sz w:val="24"/>
          <w:szCs w:val="24"/>
          <w:highlight w:val="none"/>
        </w:rPr>
        <w:t>人以“</w:t>
      </w:r>
      <w:r>
        <w:rPr>
          <w:rFonts w:hint="eastAsia"/>
          <w:sz w:val="24"/>
          <w:szCs w:val="24"/>
          <w:highlight w:val="none"/>
          <w:lang w:val="en-US" w:eastAsia="zh-CN"/>
        </w:rPr>
        <w:t>以人为本、鼓励创新</w:t>
      </w:r>
      <w:r>
        <w:rPr>
          <w:rFonts w:hint="eastAsia"/>
          <w:sz w:val="24"/>
          <w:szCs w:val="24"/>
          <w:highlight w:val="none"/>
        </w:rPr>
        <w:t>”为宗旨，坚持“</w:t>
      </w:r>
      <w:r>
        <w:rPr>
          <w:rFonts w:hint="eastAsia"/>
          <w:sz w:val="24"/>
          <w:szCs w:val="24"/>
          <w:highlight w:val="none"/>
          <w:lang w:val="en-US" w:eastAsia="zh-CN"/>
        </w:rPr>
        <w:t>顾客至上、优质高效、全员参与、持续改进、预防污染、绿色排放、遵守法律、安全第一</w:t>
      </w:r>
      <w:r>
        <w:rPr>
          <w:rFonts w:hint="eastAsia"/>
          <w:sz w:val="24"/>
          <w:szCs w:val="24"/>
          <w:highlight w:val="none"/>
        </w:rPr>
        <w:t>。”努力营造以人为本、和谐共事、快乐工作、激情创业、健康生活的氛围，真正形成团结和谐谋发展、众志成城创大业的合力，实现企业和员工的文明、和谐、科学、有效的发展。正确、扎实、快速、有效应该是</w:t>
      </w:r>
      <w:r>
        <w:rPr>
          <w:rFonts w:hint="eastAsia"/>
          <w:sz w:val="24"/>
          <w:szCs w:val="24"/>
          <w:highlight w:val="none"/>
          <w:lang w:eastAsia="zh-CN"/>
        </w:rPr>
        <w:t>南腾</w:t>
      </w:r>
      <w:r>
        <w:rPr>
          <w:rFonts w:hint="eastAsia"/>
          <w:sz w:val="24"/>
          <w:szCs w:val="24"/>
          <w:highlight w:val="none"/>
        </w:rPr>
        <w:t>的工作风格，在保证事情做对的前提下，实现行事高品质、高效率、低成本，那最后的高效益就会成为必然。</w:t>
      </w:r>
    </w:p>
    <w:p>
      <w:pPr>
        <w:pStyle w:val="4"/>
        <w:keepNext w:val="0"/>
        <w:keepLines w:val="0"/>
        <w:pageBreakBefore w:val="0"/>
        <w:widowControl w:val="0"/>
        <w:kinsoku/>
        <w:wordWrap/>
        <w:overflowPunct/>
        <w:topLinePunct w:val="0"/>
        <w:autoSpaceDE w:val="0"/>
        <w:autoSpaceDN w:val="0"/>
        <w:bidi w:val="0"/>
        <w:snapToGrid/>
        <w:spacing w:line="360" w:lineRule="auto"/>
        <w:ind w:left="0" w:right="0" w:firstLine="480" w:firstLineChars="200"/>
        <w:jc w:val="both"/>
        <w:textAlignment w:val="auto"/>
      </w:pPr>
      <w:r>
        <w:rPr>
          <w:rFonts w:hint="eastAsia"/>
        </w:rPr>
        <w:t>制度激励：公司制定了员工手册，规范员工行为，并通过制定各种奖励制度，鼓励员工表现公司期待的行为。如供应商管理制度、廉政文化建设制度等。</w:t>
      </w:r>
    </w:p>
    <w:p>
      <w:pPr>
        <w:pStyle w:val="4"/>
        <w:keepNext w:val="0"/>
        <w:keepLines w:val="0"/>
        <w:pageBreakBefore w:val="0"/>
        <w:widowControl w:val="0"/>
        <w:kinsoku/>
        <w:wordWrap/>
        <w:overflowPunct/>
        <w:topLinePunct w:val="0"/>
        <w:autoSpaceDE w:val="0"/>
        <w:autoSpaceDN w:val="0"/>
        <w:bidi w:val="0"/>
        <w:snapToGrid/>
        <w:spacing w:line="360" w:lineRule="auto"/>
        <w:ind w:left="0" w:right="0" w:firstLine="480" w:firstLineChars="200"/>
        <w:jc w:val="both"/>
        <w:textAlignment w:val="auto"/>
      </w:pPr>
      <w:r>
        <w:rPr>
          <w:rFonts w:hint="eastAsia"/>
        </w:rPr>
        <w:t>物质激励：为鼓励全体员工实现卓越绩效的活动，强化公司未来的发展方向和发展重点，公司设立了优秀员工、优秀团队、创新奖等荣誉，为员工的优秀表现给予精神奖励及物质奖励。在供应商与顾客方面，公司定期评级，根据评级结果相应提供增值性服务，以增进双方友谊，朝着对双方都有利的方向迈进。</w:t>
      </w:r>
    </w:p>
    <w:p>
      <w:pPr>
        <w:pStyle w:val="4"/>
        <w:keepNext w:val="0"/>
        <w:keepLines w:val="0"/>
        <w:pageBreakBefore w:val="0"/>
        <w:widowControl w:val="0"/>
        <w:kinsoku/>
        <w:wordWrap/>
        <w:overflowPunct/>
        <w:topLinePunct w:val="0"/>
        <w:autoSpaceDE w:val="0"/>
        <w:autoSpaceDN w:val="0"/>
        <w:bidi w:val="0"/>
        <w:snapToGrid/>
        <w:spacing w:line="360" w:lineRule="auto"/>
        <w:ind w:left="0" w:right="0" w:firstLine="480" w:firstLineChars="200"/>
        <w:jc w:val="both"/>
        <w:textAlignment w:val="auto"/>
      </w:pPr>
      <w:r>
        <w:rPr>
          <w:rFonts w:hint="eastAsia"/>
        </w:rPr>
        <w:t>c）营造良好的内部经营环境</w:t>
      </w:r>
    </w:p>
    <w:p>
      <w:pPr>
        <w:pStyle w:val="4"/>
        <w:keepNext w:val="0"/>
        <w:keepLines w:val="0"/>
        <w:pageBreakBefore w:val="0"/>
        <w:widowControl w:val="0"/>
        <w:kinsoku/>
        <w:wordWrap/>
        <w:overflowPunct/>
        <w:topLinePunct w:val="0"/>
        <w:autoSpaceDE w:val="0"/>
        <w:autoSpaceDN w:val="0"/>
        <w:bidi w:val="0"/>
        <w:snapToGrid/>
        <w:spacing w:line="360" w:lineRule="auto"/>
        <w:ind w:left="0" w:right="0" w:firstLine="480" w:firstLineChars="200"/>
        <w:jc w:val="both"/>
        <w:textAlignment w:val="auto"/>
      </w:pPr>
      <w:r>
        <w:rPr>
          <w:rFonts w:hint="eastAsia"/>
        </w:rPr>
        <w:t>1）创造诚信守法的环境</w:t>
      </w:r>
    </w:p>
    <w:p>
      <w:pPr>
        <w:pStyle w:val="4"/>
        <w:keepNext w:val="0"/>
        <w:keepLines w:val="0"/>
        <w:pageBreakBefore w:val="0"/>
        <w:widowControl w:val="0"/>
        <w:kinsoku/>
        <w:wordWrap/>
        <w:overflowPunct/>
        <w:topLinePunct w:val="0"/>
        <w:autoSpaceDE w:val="0"/>
        <w:autoSpaceDN w:val="0"/>
        <w:bidi w:val="0"/>
        <w:snapToGrid/>
        <w:spacing w:line="360" w:lineRule="auto"/>
        <w:ind w:left="0" w:right="0" w:firstLine="480" w:firstLineChars="200"/>
        <w:jc w:val="both"/>
        <w:textAlignment w:val="auto"/>
      </w:pPr>
      <w:r>
        <w:rPr>
          <w:rFonts w:hint="eastAsia"/>
        </w:rPr>
        <w:t>公司高层领导致力于营造守法重德的环境，坚持诚信经营、遵纪守法、依法纳税。公司每年组织各部门开展法律法规监督与检查，严格遵守国家的法律法规，建立商业行为准则和员工商业行为规范。公司一直践行廉政文化，逐步完善制度，规范公司及员工行为。此外，公司定期接受国</w:t>
      </w:r>
      <w:r>
        <w:rPr>
          <w:rFonts w:hint="eastAsia"/>
          <w:lang w:val="en-US" w:eastAsia="zh-CN"/>
        </w:rPr>
        <w:t>内</w:t>
      </w:r>
      <w:r>
        <w:rPr>
          <w:rFonts w:hint="eastAsia"/>
        </w:rPr>
        <w:t>多家知名品牌客户验厂，不断完善诚信守法体系。</w:t>
      </w:r>
    </w:p>
    <w:p>
      <w:pPr>
        <w:pStyle w:val="4"/>
        <w:keepNext w:val="0"/>
        <w:keepLines w:val="0"/>
        <w:pageBreakBefore w:val="0"/>
        <w:widowControl w:val="0"/>
        <w:kinsoku/>
        <w:wordWrap/>
        <w:overflowPunct/>
        <w:topLinePunct w:val="0"/>
        <w:autoSpaceDE w:val="0"/>
        <w:autoSpaceDN w:val="0"/>
        <w:bidi w:val="0"/>
        <w:snapToGrid/>
        <w:spacing w:line="360" w:lineRule="auto"/>
        <w:ind w:left="0" w:right="0" w:firstLine="480" w:firstLineChars="200"/>
        <w:jc w:val="both"/>
        <w:textAlignment w:val="auto"/>
      </w:pPr>
      <w:r>
        <w:rPr>
          <w:rFonts w:hint="eastAsia"/>
        </w:rPr>
        <w:t>公司通过各种方式对合作方实施影响，例如，公司以合同的形式规范供应商行为，通过对供应商的审计评价，认定其供应资格。</w:t>
      </w:r>
    </w:p>
    <w:p>
      <w:pPr>
        <w:pStyle w:val="4"/>
        <w:keepNext w:val="0"/>
        <w:keepLines w:val="0"/>
        <w:pageBreakBefore w:val="0"/>
        <w:widowControl w:val="0"/>
        <w:kinsoku/>
        <w:wordWrap/>
        <w:overflowPunct/>
        <w:topLinePunct w:val="0"/>
        <w:autoSpaceDE w:val="0"/>
        <w:autoSpaceDN w:val="0"/>
        <w:bidi w:val="0"/>
        <w:snapToGrid/>
        <w:spacing w:line="360" w:lineRule="auto"/>
        <w:ind w:left="0" w:right="0" w:firstLine="480" w:firstLineChars="200"/>
        <w:jc w:val="both"/>
        <w:textAlignment w:val="auto"/>
      </w:pPr>
      <w:r>
        <w:rPr>
          <w:rFonts w:hint="eastAsia"/>
        </w:rPr>
        <w:t>公司坚信诚为做人之源，信为立业之本是企业做大做强的根本，求真务实的思想作风是企业对社会、客户、员工等责任承诺的保障基础。在公司内部企业、部门、员工之间都要讲诚信、守承诺，相互信赖、相互支持；在外部则是做事业要务实，注重长期经营，坚持合作共赢，承担社会责任，关注节能环保问题。</w:t>
      </w:r>
    </w:p>
    <w:p>
      <w:pPr>
        <w:pStyle w:val="4"/>
        <w:keepNext w:val="0"/>
        <w:keepLines w:val="0"/>
        <w:pageBreakBefore w:val="0"/>
        <w:widowControl w:val="0"/>
        <w:kinsoku/>
        <w:wordWrap/>
        <w:overflowPunct/>
        <w:topLinePunct w:val="0"/>
        <w:autoSpaceDE w:val="0"/>
        <w:autoSpaceDN w:val="0"/>
        <w:bidi w:val="0"/>
        <w:snapToGrid/>
        <w:spacing w:line="360" w:lineRule="auto"/>
        <w:ind w:left="0" w:right="0" w:firstLine="480" w:firstLineChars="200"/>
        <w:jc w:val="both"/>
        <w:textAlignment w:val="auto"/>
      </w:pPr>
      <w:r>
        <w:rPr>
          <w:rFonts w:hint="eastAsia"/>
        </w:rPr>
        <w:t>2）</w:t>
      </w:r>
      <w:r>
        <w:t>创建有利</w:t>
      </w:r>
      <w:r>
        <w:rPr>
          <w:rFonts w:hint="eastAsia"/>
        </w:rPr>
        <w:t>于改进和</w:t>
      </w:r>
      <w:r>
        <w:t>创新的环境</w:t>
      </w:r>
    </w:p>
    <w:p>
      <w:pPr>
        <w:pStyle w:val="4"/>
        <w:keepNext w:val="0"/>
        <w:keepLines w:val="0"/>
        <w:pageBreakBefore w:val="0"/>
        <w:widowControl w:val="0"/>
        <w:kinsoku/>
        <w:wordWrap/>
        <w:overflowPunct/>
        <w:topLinePunct w:val="0"/>
        <w:autoSpaceDE w:val="0"/>
        <w:autoSpaceDN w:val="0"/>
        <w:bidi w:val="0"/>
        <w:snapToGrid/>
        <w:spacing w:line="360" w:lineRule="auto"/>
        <w:ind w:left="0" w:right="0" w:firstLine="480" w:firstLineChars="200"/>
        <w:jc w:val="both"/>
        <w:textAlignment w:val="auto"/>
      </w:pPr>
      <w:r>
        <w:rPr>
          <w:rFonts w:hint="eastAsia"/>
          <w:lang w:eastAsia="zh-CN"/>
        </w:rPr>
        <w:t>南腾</w:t>
      </w:r>
      <w:r>
        <w:t>的快速发展离不开</w:t>
      </w:r>
      <w:r>
        <w:rPr>
          <w:rFonts w:hint="eastAsia"/>
        </w:rPr>
        <w:t>总经理</w:t>
      </w:r>
      <w:r>
        <w:t>的</w:t>
      </w:r>
      <w:r>
        <w:rPr>
          <w:rFonts w:hint="eastAsia"/>
        </w:rPr>
        <w:t>不断创新的思维和实践，正是由于</w:t>
      </w:r>
      <w:r>
        <w:rPr>
          <w:rFonts w:hint="eastAsia"/>
          <w:lang w:eastAsia="zh-CN"/>
        </w:rPr>
        <w:t>南腾</w:t>
      </w:r>
      <w:r>
        <w:rPr>
          <w:rFonts w:hint="eastAsia"/>
        </w:rPr>
        <w:t>的发展动力来自于源源不断的创新，使得创新意识已植根于企业文化，并不断促进公司的发展。</w:t>
      </w:r>
    </w:p>
    <w:p>
      <w:pPr>
        <w:pStyle w:val="4"/>
        <w:keepNext w:val="0"/>
        <w:keepLines w:val="0"/>
        <w:pageBreakBefore w:val="0"/>
        <w:widowControl w:val="0"/>
        <w:kinsoku/>
        <w:wordWrap/>
        <w:overflowPunct/>
        <w:topLinePunct w:val="0"/>
        <w:autoSpaceDE w:val="0"/>
        <w:autoSpaceDN w:val="0"/>
        <w:bidi w:val="0"/>
        <w:snapToGrid/>
        <w:spacing w:line="360" w:lineRule="auto"/>
        <w:ind w:left="0" w:right="0" w:firstLine="480" w:firstLineChars="200"/>
        <w:jc w:val="both"/>
        <w:textAlignment w:val="auto"/>
      </w:pPr>
      <w:r>
        <w:rPr>
          <w:rFonts w:hint="eastAsia"/>
        </w:rPr>
        <w:t>科技创新环境的营造</w:t>
      </w:r>
    </w:p>
    <w:p>
      <w:pPr>
        <w:pStyle w:val="4"/>
        <w:keepNext w:val="0"/>
        <w:keepLines w:val="0"/>
        <w:pageBreakBefore w:val="0"/>
        <w:widowControl w:val="0"/>
        <w:kinsoku/>
        <w:wordWrap/>
        <w:overflowPunct/>
        <w:topLinePunct w:val="0"/>
        <w:autoSpaceDE w:val="0"/>
        <w:autoSpaceDN w:val="0"/>
        <w:bidi w:val="0"/>
        <w:snapToGrid/>
        <w:spacing w:line="360" w:lineRule="auto"/>
        <w:ind w:left="0" w:right="0" w:firstLine="480" w:firstLineChars="200"/>
        <w:jc w:val="both"/>
        <w:textAlignment w:val="auto"/>
      </w:pPr>
      <w:r>
        <w:rPr>
          <w:rFonts w:hint="eastAsia"/>
        </w:rPr>
        <w:t>公司在多年的经营过程中不断契合消费者需求，追求产品时尚、新颖等方面的创新，追求产品高标准高质量。公司新产品开发以市场需求为坐标，了解市场的需求和用户的心理，以此研发新的产品，开拓新的消费需求领域。</w:t>
      </w:r>
    </w:p>
    <w:p>
      <w:pPr>
        <w:pStyle w:val="4"/>
        <w:keepNext w:val="0"/>
        <w:keepLines w:val="0"/>
        <w:pageBreakBefore w:val="0"/>
        <w:widowControl w:val="0"/>
        <w:kinsoku/>
        <w:wordWrap/>
        <w:overflowPunct/>
        <w:topLinePunct w:val="0"/>
        <w:autoSpaceDE w:val="0"/>
        <w:autoSpaceDN w:val="0"/>
        <w:bidi w:val="0"/>
        <w:snapToGrid/>
        <w:spacing w:line="360" w:lineRule="auto"/>
        <w:ind w:left="0" w:right="0" w:firstLine="480" w:firstLineChars="200"/>
        <w:jc w:val="both"/>
        <w:textAlignment w:val="auto"/>
      </w:pPr>
      <w:r>
        <w:rPr>
          <w:rFonts w:hint="eastAsia"/>
        </w:rPr>
        <w:t>公司建立了完善的财务分析制度，充分收集有关财务、销售、市场、技术、政策、法律等方面的有关信息资料，根据不同情况分别采用比较分析、因素分析、平衡分析等方法。公司每月召开资金分析会议，分析预算执行情况、财务收入、费用、利润的预算完成情况及资金日常使用的执行情况。跟踪检查月度资金计划执行情况，有效控制资金使用，使公司实时掌握资金情况并根据各种需求做出调整。</w:t>
      </w:r>
    </w:p>
    <w:p>
      <w:pPr>
        <w:pStyle w:val="4"/>
        <w:keepNext w:val="0"/>
        <w:keepLines w:val="0"/>
        <w:pageBreakBefore w:val="0"/>
        <w:widowControl w:val="0"/>
        <w:kinsoku/>
        <w:wordWrap/>
        <w:overflowPunct/>
        <w:topLinePunct w:val="0"/>
        <w:autoSpaceDE w:val="0"/>
        <w:autoSpaceDN w:val="0"/>
        <w:bidi w:val="0"/>
        <w:snapToGrid/>
        <w:spacing w:line="360" w:lineRule="auto"/>
        <w:ind w:left="0" w:right="0" w:firstLine="480" w:firstLineChars="200"/>
        <w:jc w:val="both"/>
        <w:textAlignment w:val="auto"/>
      </w:pPr>
      <w:r>
        <w:rPr>
          <w:rFonts w:hint="eastAsia"/>
        </w:rPr>
        <w:t>在人员激励上，为鼓励研发人员的创造性，企业制订相应的激励措施，对围绕企业生产能力有关产品，新开发研究成功的全新产品，直接给予资金奖励。同时，将产品的新创意、新技艺等方面列入研发中心人员月绩效考核的指标内容，极大地调动了研发人员致力新产品开发和研制的工作热情。</w:t>
      </w:r>
    </w:p>
    <w:p>
      <w:pPr>
        <w:pStyle w:val="4"/>
        <w:keepNext w:val="0"/>
        <w:keepLines w:val="0"/>
        <w:pageBreakBefore w:val="0"/>
        <w:widowControl w:val="0"/>
        <w:kinsoku/>
        <w:wordWrap/>
        <w:overflowPunct/>
        <w:topLinePunct w:val="0"/>
        <w:autoSpaceDE w:val="0"/>
        <w:autoSpaceDN w:val="0"/>
        <w:bidi w:val="0"/>
        <w:snapToGrid/>
        <w:spacing w:line="360" w:lineRule="auto"/>
        <w:ind w:left="0" w:right="0" w:firstLine="480" w:firstLineChars="200"/>
        <w:jc w:val="both"/>
        <w:textAlignment w:val="auto"/>
      </w:pPr>
      <w:r>
        <w:rPr>
          <w:rFonts w:hint="eastAsia"/>
        </w:rPr>
        <w:t>管理创新环境的营造</w:t>
      </w:r>
    </w:p>
    <w:p>
      <w:pPr>
        <w:pStyle w:val="4"/>
        <w:keepNext w:val="0"/>
        <w:keepLines w:val="0"/>
        <w:pageBreakBefore w:val="0"/>
        <w:widowControl w:val="0"/>
        <w:kinsoku/>
        <w:wordWrap/>
        <w:overflowPunct/>
        <w:topLinePunct w:val="0"/>
        <w:autoSpaceDE w:val="0"/>
        <w:autoSpaceDN w:val="0"/>
        <w:bidi w:val="0"/>
        <w:snapToGrid/>
        <w:spacing w:line="360" w:lineRule="auto"/>
        <w:ind w:left="0" w:right="0" w:firstLine="480" w:firstLineChars="200"/>
        <w:jc w:val="both"/>
        <w:textAlignment w:val="auto"/>
      </w:pPr>
      <w:r>
        <w:rPr>
          <w:rFonts w:hint="eastAsia"/>
        </w:rPr>
        <w:t>管理创新：此外，为</w:t>
      </w:r>
      <w:r>
        <w:t>推进企业</w:t>
      </w:r>
      <w:r>
        <w:rPr>
          <w:rFonts w:hint="eastAsia"/>
        </w:rPr>
        <w:t>生产经营、技术创新、制度建设、内部管理等，公司制定了员工合理化建议管理制度，规定合理化建议范围及奖励方式等。该管理办法</w:t>
      </w:r>
      <w:r>
        <w:t>为员工合理化建议提供了良好的实施环境，极大地鼓舞了员工争做创新标杆的士气。</w:t>
      </w:r>
    </w:p>
    <w:p>
      <w:pPr>
        <w:pStyle w:val="4"/>
        <w:keepNext w:val="0"/>
        <w:keepLines w:val="0"/>
        <w:pageBreakBefore w:val="0"/>
        <w:widowControl w:val="0"/>
        <w:kinsoku/>
        <w:wordWrap/>
        <w:overflowPunct/>
        <w:topLinePunct w:val="0"/>
        <w:autoSpaceDE w:val="0"/>
        <w:autoSpaceDN w:val="0"/>
        <w:bidi w:val="0"/>
        <w:snapToGrid/>
        <w:spacing w:line="360" w:lineRule="auto"/>
        <w:ind w:left="0" w:right="0" w:firstLine="480" w:firstLineChars="200"/>
        <w:jc w:val="both"/>
        <w:textAlignment w:val="auto"/>
      </w:pPr>
      <w:r>
        <w:rPr>
          <w:rFonts w:hint="eastAsia"/>
        </w:rPr>
        <w:t>企业内部有利于改进和创新环境的建立，使企业产品质量、服务以及内部管理有了新的提高，品牌效益初步显现。</w:t>
      </w:r>
    </w:p>
    <w:p>
      <w:pPr>
        <w:pStyle w:val="4"/>
        <w:keepNext w:val="0"/>
        <w:keepLines w:val="0"/>
        <w:pageBreakBefore w:val="0"/>
        <w:widowControl w:val="0"/>
        <w:kinsoku/>
        <w:wordWrap/>
        <w:overflowPunct/>
        <w:topLinePunct w:val="0"/>
        <w:autoSpaceDE w:val="0"/>
        <w:autoSpaceDN w:val="0"/>
        <w:bidi w:val="0"/>
        <w:snapToGrid/>
        <w:spacing w:line="360" w:lineRule="auto"/>
        <w:ind w:left="0" w:right="0" w:firstLine="480" w:firstLineChars="200"/>
        <w:jc w:val="both"/>
        <w:textAlignment w:val="auto"/>
      </w:pPr>
      <w:r>
        <w:rPr>
          <w:rFonts w:hint="eastAsia"/>
        </w:rPr>
        <w:t>3）营造快速反应的环境</w:t>
      </w:r>
    </w:p>
    <w:p>
      <w:pPr>
        <w:pStyle w:val="4"/>
        <w:keepNext w:val="0"/>
        <w:keepLines w:val="0"/>
        <w:pageBreakBefore w:val="0"/>
        <w:widowControl w:val="0"/>
        <w:kinsoku/>
        <w:wordWrap/>
        <w:overflowPunct/>
        <w:topLinePunct w:val="0"/>
        <w:autoSpaceDE w:val="0"/>
        <w:autoSpaceDN w:val="0"/>
        <w:bidi w:val="0"/>
        <w:snapToGrid/>
        <w:spacing w:line="360" w:lineRule="auto"/>
        <w:ind w:left="0" w:right="0" w:firstLine="480" w:firstLineChars="200"/>
        <w:jc w:val="both"/>
        <w:textAlignment w:val="auto"/>
        <w:rPr>
          <w:highlight w:val="none"/>
        </w:rPr>
      </w:pPr>
      <w:r>
        <w:rPr>
          <w:rFonts w:hint="eastAsia"/>
          <w:highlight w:val="none"/>
          <w:lang w:val="en-US" w:eastAsia="zh-CN"/>
        </w:rPr>
        <w:t>南腾</w:t>
      </w:r>
      <w:r>
        <w:rPr>
          <w:rFonts w:hint="eastAsia"/>
          <w:highlight w:val="none"/>
        </w:rPr>
        <w:t>秉持“反应迅速、计划周密、执行有力”的行事理念高效处理各项事务。高层领导以顾客和市场、员工为中心，推行“快速反应”的管理原则，建立快速反应机制。</w:t>
      </w:r>
    </w:p>
    <w:p>
      <w:pPr>
        <w:pStyle w:val="4"/>
        <w:keepNext w:val="0"/>
        <w:keepLines w:val="0"/>
        <w:pageBreakBefore w:val="0"/>
        <w:widowControl w:val="0"/>
        <w:kinsoku/>
        <w:wordWrap/>
        <w:overflowPunct/>
        <w:topLinePunct w:val="0"/>
        <w:autoSpaceDE w:val="0"/>
        <w:autoSpaceDN w:val="0"/>
        <w:bidi w:val="0"/>
        <w:snapToGrid/>
        <w:spacing w:line="360" w:lineRule="auto"/>
        <w:ind w:left="0" w:right="0" w:firstLine="480" w:firstLineChars="200"/>
        <w:jc w:val="both"/>
        <w:textAlignment w:val="auto"/>
        <w:rPr>
          <w:highlight w:val="none"/>
        </w:rPr>
      </w:pPr>
      <w:r>
        <w:rPr>
          <w:rFonts w:hint="eastAsia"/>
          <w:highlight w:val="none"/>
        </w:rPr>
        <w:t>对于内部员工，建立覆盖各种紧急情况的应急预案，并开展应急演练，培育员工的危机处理意识和能力，实现对意外情况的快速处理，例如顾客投诉应急处理预案、火灾、停电等紧急处理预案等。</w:t>
      </w:r>
    </w:p>
    <w:p>
      <w:pPr>
        <w:pStyle w:val="4"/>
        <w:keepNext w:val="0"/>
        <w:keepLines w:val="0"/>
        <w:pageBreakBefore w:val="0"/>
        <w:widowControl w:val="0"/>
        <w:kinsoku/>
        <w:wordWrap/>
        <w:overflowPunct/>
        <w:topLinePunct w:val="0"/>
        <w:autoSpaceDE w:val="0"/>
        <w:autoSpaceDN w:val="0"/>
        <w:bidi w:val="0"/>
        <w:snapToGrid/>
        <w:spacing w:line="360" w:lineRule="auto"/>
        <w:ind w:left="0" w:right="0" w:firstLine="480" w:firstLineChars="200"/>
        <w:jc w:val="both"/>
        <w:textAlignment w:val="auto"/>
      </w:pPr>
      <w:r>
        <w:rPr>
          <w:rFonts w:hint="eastAsia"/>
          <w:highlight w:val="none"/>
        </w:rPr>
        <w:t>在组织结构方面，建立扁平化的组织结构，通过缩短指令向下传达或信息向上</w:t>
      </w:r>
      <w:r>
        <w:rPr>
          <w:rFonts w:hint="eastAsia"/>
        </w:rPr>
        <w:t>传递的层级，提升组织的响应速度，通过构建信息化办公系统，为实现将财务、销售、采购、物流、生产等核心业务实现一体化管理，持续高效运营，识别和开发并及时、准确的获取相关信息和知识资源，</w:t>
      </w:r>
      <w:r>
        <w:rPr>
          <w:rFonts w:hint="eastAsia" w:ascii="Arial" w:hAnsi="Arial"/>
          <w:szCs w:val="22"/>
        </w:rPr>
        <w:t>项目攻关</w:t>
      </w:r>
      <w:r>
        <w:rPr>
          <w:rFonts w:hint="eastAsia"/>
        </w:rPr>
        <w:t>等</w:t>
      </w:r>
      <w:r>
        <w:t>方式</w:t>
      </w:r>
      <w:r>
        <w:rPr>
          <w:rFonts w:hint="eastAsia"/>
        </w:rPr>
        <w:t>，实现信息资源有效传递和应用，科学、高效</w:t>
      </w:r>
      <w:r>
        <w:t>的</w:t>
      </w:r>
      <w:r>
        <w:rPr>
          <w:rFonts w:hint="eastAsia"/>
        </w:rPr>
        <w:t>资源</w:t>
      </w:r>
      <w:r>
        <w:t>管理</w:t>
      </w:r>
      <w:r>
        <w:rPr>
          <w:rFonts w:hint="eastAsia"/>
        </w:rPr>
        <w:t>成为公司持续</w:t>
      </w:r>
      <w:r>
        <w:t>、稳定发展</w:t>
      </w:r>
      <w:r>
        <w:rPr>
          <w:rFonts w:hint="eastAsia"/>
        </w:rPr>
        <w:t>，以及</w:t>
      </w:r>
      <w:r>
        <w:t>提升</w:t>
      </w:r>
      <w:r>
        <w:rPr>
          <w:rFonts w:hint="eastAsia"/>
        </w:rPr>
        <w:t>核心</w:t>
      </w:r>
      <w:r>
        <w:t>竞争</w:t>
      </w:r>
      <w:r>
        <w:rPr>
          <w:rFonts w:hint="eastAsia"/>
        </w:rPr>
        <w:t>的</w:t>
      </w:r>
      <w:r>
        <w:t>有力保障</w:t>
      </w:r>
      <w:r>
        <w:rPr>
          <w:rFonts w:hint="eastAsia"/>
        </w:rPr>
        <w:t>。</w:t>
      </w:r>
    </w:p>
    <w:p>
      <w:pPr>
        <w:pStyle w:val="4"/>
        <w:keepNext w:val="0"/>
        <w:keepLines w:val="0"/>
        <w:pageBreakBefore w:val="0"/>
        <w:widowControl w:val="0"/>
        <w:kinsoku/>
        <w:wordWrap/>
        <w:overflowPunct/>
        <w:topLinePunct w:val="0"/>
        <w:autoSpaceDE w:val="0"/>
        <w:autoSpaceDN w:val="0"/>
        <w:bidi w:val="0"/>
        <w:snapToGrid/>
        <w:spacing w:line="360" w:lineRule="auto"/>
        <w:ind w:left="0" w:right="0" w:firstLine="480" w:firstLineChars="200"/>
        <w:jc w:val="both"/>
        <w:textAlignment w:val="auto"/>
      </w:pPr>
      <w:r>
        <w:rPr>
          <w:rFonts w:hint="eastAsia"/>
        </w:rPr>
        <w:t>在工作方面，通过优化业务流程，引进先进的软硬件和技术人才，提升新品的开发速度。目前，公司新产品开发速度在业内处于领先水平。针对外部事件，及时进行危机处理，召开营销会议等活动进行应急战略、战术调整，高效对各环境变化做出反应。</w:t>
      </w:r>
    </w:p>
    <w:p>
      <w:pPr>
        <w:pStyle w:val="4"/>
        <w:keepNext w:val="0"/>
        <w:keepLines w:val="0"/>
        <w:pageBreakBefore w:val="0"/>
        <w:widowControl w:val="0"/>
        <w:kinsoku/>
        <w:wordWrap/>
        <w:overflowPunct/>
        <w:topLinePunct w:val="0"/>
        <w:autoSpaceDE w:val="0"/>
        <w:autoSpaceDN w:val="0"/>
        <w:bidi w:val="0"/>
        <w:snapToGrid/>
        <w:spacing w:line="360" w:lineRule="auto"/>
        <w:ind w:left="0" w:right="0" w:firstLine="480" w:firstLineChars="200"/>
        <w:jc w:val="both"/>
        <w:textAlignment w:val="auto"/>
      </w:pPr>
      <w:r>
        <w:rPr>
          <w:rFonts w:hint="eastAsia"/>
        </w:rPr>
        <w:t>4）营造全员学习的环境</w:t>
      </w:r>
    </w:p>
    <w:p>
      <w:pPr>
        <w:pStyle w:val="4"/>
        <w:keepNext w:val="0"/>
        <w:keepLines w:val="0"/>
        <w:pageBreakBefore w:val="0"/>
        <w:widowControl w:val="0"/>
        <w:kinsoku/>
        <w:wordWrap/>
        <w:overflowPunct/>
        <w:topLinePunct w:val="0"/>
        <w:autoSpaceDE w:val="0"/>
        <w:autoSpaceDN w:val="0"/>
        <w:bidi w:val="0"/>
        <w:snapToGrid/>
        <w:spacing w:line="360" w:lineRule="auto"/>
        <w:ind w:left="0" w:right="0" w:firstLine="480" w:firstLineChars="200"/>
        <w:jc w:val="both"/>
        <w:textAlignment w:val="auto"/>
      </w:pPr>
      <w:r>
        <w:rPr>
          <w:rFonts w:hint="eastAsia"/>
        </w:rPr>
        <w:t>公司领导非常重视员工的培训和学习，积极建设学习型组织，构建了“多层级培训发展体系”，针对高层、中层、基层、专业人员、新员工等开展丰富多样的培训活动。并采用外派与内训、线上线下相结合方式给予员工最全面、便捷的学习途径。为了创造一个更好的环境，公司</w:t>
      </w:r>
      <w:r>
        <w:t>配备</w:t>
      </w:r>
      <w:r>
        <w:rPr>
          <w:rFonts w:hint="eastAsia"/>
        </w:rPr>
        <w:t>了</w:t>
      </w:r>
      <w:r>
        <w:t>先进的多媒体教学设施，宽敞舒适的学习环境，完善的培训教学的软件资源。</w:t>
      </w:r>
    </w:p>
    <w:p>
      <w:pPr>
        <w:pStyle w:val="4"/>
        <w:keepNext w:val="0"/>
        <w:keepLines w:val="0"/>
        <w:pageBreakBefore w:val="0"/>
        <w:widowControl w:val="0"/>
        <w:kinsoku/>
        <w:wordWrap/>
        <w:overflowPunct/>
        <w:topLinePunct w:val="0"/>
        <w:autoSpaceDE w:val="0"/>
        <w:autoSpaceDN w:val="0"/>
        <w:bidi w:val="0"/>
        <w:snapToGrid/>
        <w:spacing w:line="360" w:lineRule="auto"/>
        <w:ind w:left="0" w:right="0" w:firstLine="480" w:firstLineChars="200"/>
        <w:jc w:val="both"/>
        <w:textAlignment w:val="auto"/>
      </w:pPr>
      <w:r>
        <w:rPr>
          <w:rFonts w:hint="eastAsia"/>
        </w:rPr>
        <w:t>为保证准确的识别培训需求、制定并实施培训计划，公司每年发放《公司员工培训需求调查表》，以此收集各部门员工的培训需求，并以此制定培训计划。依据总体培训规划，公司明确了分级培训体系，分别针对高管人员、中层人员和基层人员确定相应的培训内容及培训方式，使得培训项目的实施更加符合公司整体战略发展规划。</w:t>
      </w:r>
    </w:p>
    <w:p>
      <w:pPr>
        <w:pStyle w:val="4"/>
        <w:keepNext w:val="0"/>
        <w:keepLines w:val="0"/>
        <w:pageBreakBefore w:val="0"/>
        <w:kinsoku/>
        <w:wordWrap/>
        <w:overflowPunct/>
        <w:topLinePunct w:val="0"/>
        <w:autoSpaceDE w:val="0"/>
        <w:autoSpaceDN w:val="0"/>
        <w:bidi w:val="0"/>
        <w:spacing w:line="360" w:lineRule="auto"/>
        <w:ind w:left="0" w:right="0" w:firstLine="420" w:firstLineChars="200"/>
        <w:jc w:val="center"/>
        <w:textAlignment w:val="auto"/>
        <w:rPr>
          <w:sz w:val="21"/>
          <w:szCs w:val="21"/>
        </w:rPr>
      </w:pPr>
      <w:r>
        <w:rPr>
          <w:rFonts w:hint="eastAsia"/>
          <w:sz w:val="21"/>
          <w:szCs w:val="21"/>
        </w:rPr>
        <w:t>表</w:t>
      </w:r>
      <w:r>
        <w:rPr>
          <w:rFonts w:hint="eastAsia"/>
          <w:sz w:val="21"/>
          <w:szCs w:val="21"/>
          <w:lang w:val="en-US"/>
        </w:rPr>
        <w:t>2</w:t>
      </w:r>
      <w:r>
        <w:rPr>
          <w:rFonts w:hint="eastAsia"/>
          <w:sz w:val="21"/>
          <w:szCs w:val="21"/>
        </w:rPr>
        <w:t>.1-</w:t>
      </w:r>
      <w:r>
        <w:rPr>
          <w:sz w:val="21"/>
          <w:szCs w:val="21"/>
        </w:rPr>
        <w:fldChar w:fldCharType="begin"/>
      </w:r>
      <w:r>
        <w:rPr>
          <w:rFonts w:hint="eastAsia"/>
          <w:sz w:val="21"/>
          <w:szCs w:val="21"/>
        </w:rPr>
        <w:instrText xml:space="preserve">SEQ 图表4.1- \* ARABIC</w:instrText>
      </w:r>
      <w:r>
        <w:rPr>
          <w:sz w:val="21"/>
          <w:szCs w:val="21"/>
        </w:rPr>
        <w:fldChar w:fldCharType="separate"/>
      </w:r>
      <w:r>
        <w:rPr>
          <w:sz w:val="21"/>
          <w:szCs w:val="21"/>
        </w:rPr>
        <w:t>4</w:t>
      </w:r>
      <w:r>
        <w:rPr>
          <w:sz w:val="21"/>
          <w:szCs w:val="21"/>
        </w:rPr>
        <w:fldChar w:fldCharType="end"/>
      </w:r>
      <w:r>
        <w:rPr>
          <w:rFonts w:hint="eastAsia"/>
          <w:sz w:val="21"/>
          <w:szCs w:val="21"/>
        </w:rPr>
        <w:t xml:space="preserve"> </w:t>
      </w:r>
      <w:r>
        <w:rPr>
          <w:sz w:val="21"/>
          <w:szCs w:val="21"/>
        </w:rPr>
        <w:t>培训层级体系表</w:t>
      </w:r>
    </w:p>
    <w:tbl>
      <w:tblPr>
        <w:tblStyle w:val="10"/>
        <w:tblW w:w="898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35"/>
        <w:gridCol w:w="4904"/>
        <w:gridCol w:w="294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0" w:hRule="atLeast"/>
          <w:tblHeader/>
          <w:jc w:val="center"/>
        </w:trPr>
        <w:tc>
          <w:tcPr>
            <w:tcW w:w="1135" w:type="dxa"/>
            <w:shd w:val="clear" w:color="auto" w:fill="548DD4" w:themeFill="text2" w:themeFillTint="99"/>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left="0" w:right="0" w:firstLine="0" w:firstLineChars="0"/>
              <w:jc w:val="center"/>
              <w:textAlignment w:val="auto"/>
              <w:rPr>
                <w:rFonts w:ascii="微软雅黑" w:hAnsi="微软雅黑" w:eastAsia="微软雅黑"/>
                <w:b/>
                <w:sz w:val="21"/>
                <w:szCs w:val="21"/>
              </w:rPr>
            </w:pPr>
            <w:r>
              <w:rPr>
                <w:rFonts w:ascii="微软雅黑" w:hAnsi="微软雅黑" w:eastAsia="微软雅黑"/>
                <w:b/>
                <w:sz w:val="21"/>
                <w:szCs w:val="21"/>
              </w:rPr>
              <w:t>培训级别</w:t>
            </w:r>
          </w:p>
        </w:tc>
        <w:tc>
          <w:tcPr>
            <w:tcW w:w="4904" w:type="dxa"/>
            <w:shd w:val="clear" w:color="auto" w:fill="548DD4" w:themeFill="text2" w:themeFillTint="99"/>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left="0" w:right="0" w:firstLine="0" w:firstLineChars="0"/>
              <w:jc w:val="center"/>
              <w:textAlignment w:val="auto"/>
              <w:rPr>
                <w:rFonts w:ascii="微软雅黑" w:hAnsi="微软雅黑" w:eastAsia="微软雅黑"/>
                <w:b/>
                <w:sz w:val="21"/>
                <w:szCs w:val="21"/>
              </w:rPr>
            </w:pPr>
            <w:r>
              <w:rPr>
                <w:rFonts w:ascii="微软雅黑" w:hAnsi="微软雅黑" w:eastAsia="微软雅黑"/>
                <w:b/>
                <w:sz w:val="21"/>
                <w:szCs w:val="21"/>
              </w:rPr>
              <w:t>主要培训内容</w:t>
            </w:r>
          </w:p>
        </w:tc>
        <w:tc>
          <w:tcPr>
            <w:tcW w:w="2945" w:type="dxa"/>
            <w:shd w:val="clear" w:color="auto" w:fill="548DD4" w:themeFill="text2" w:themeFillTint="99"/>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left="0" w:right="0" w:firstLine="0" w:firstLineChars="0"/>
              <w:jc w:val="center"/>
              <w:textAlignment w:val="auto"/>
              <w:rPr>
                <w:rFonts w:ascii="微软雅黑" w:hAnsi="微软雅黑" w:eastAsia="微软雅黑"/>
                <w:b/>
                <w:sz w:val="21"/>
                <w:szCs w:val="21"/>
              </w:rPr>
            </w:pPr>
            <w:r>
              <w:rPr>
                <w:rFonts w:ascii="微软雅黑" w:hAnsi="微软雅黑" w:eastAsia="微软雅黑"/>
                <w:b/>
                <w:sz w:val="21"/>
                <w:szCs w:val="21"/>
              </w:rPr>
              <w:t>培训方式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1" w:hRule="atLeast"/>
          <w:jc w:val="center"/>
        </w:trPr>
        <w:tc>
          <w:tcPr>
            <w:tcW w:w="1135" w:type="dxa"/>
            <w:shd w:val="clear" w:color="auto" w:fill="F2F2F2"/>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left="0" w:right="0" w:firstLine="0" w:firstLineChars="0"/>
              <w:jc w:val="center"/>
              <w:textAlignment w:val="auto"/>
              <w:rPr>
                <w:rFonts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高管人员</w:t>
            </w:r>
          </w:p>
        </w:tc>
        <w:tc>
          <w:tcPr>
            <w:tcW w:w="4904" w:type="dxa"/>
            <w:shd w:val="clear" w:color="auto" w:fill="F2F2F2"/>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left="0" w:right="0" w:firstLine="0" w:firstLineChars="0"/>
              <w:jc w:val="both"/>
              <w:textAlignment w:val="auto"/>
              <w:rPr>
                <w:rFonts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侧重于观念、理念方面，此外还有市场经济所要求的系统管理理论和技能，如管理学、组织行为学、市场营销、企业经营战略、企业经营过程控制、领导科学与艺术等。</w:t>
            </w:r>
          </w:p>
        </w:tc>
        <w:tc>
          <w:tcPr>
            <w:tcW w:w="2945" w:type="dxa"/>
            <w:shd w:val="clear" w:color="auto" w:fill="F2F2F2"/>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left="0" w:right="0" w:firstLine="0" w:firstLineChars="0"/>
              <w:jc w:val="both"/>
              <w:textAlignment w:val="auto"/>
              <w:rPr>
                <w:rFonts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以外派培训为主。诸如，有计划地安排高层管理者参加MBA学习、总裁高级研修班、高级论坛、赴外地考察等等。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7" w:hRule="atLeast"/>
          <w:jc w:val="center"/>
        </w:trPr>
        <w:tc>
          <w:tcPr>
            <w:tcW w:w="1135" w:type="dxa"/>
            <w:shd w:val="clear" w:color="auto" w:fill="F2F2F2"/>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left="0" w:right="0" w:firstLine="0" w:firstLineChars="0"/>
              <w:jc w:val="center"/>
              <w:textAlignment w:val="auto"/>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中层人员</w:t>
            </w:r>
          </w:p>
        </w:tc>
        <w:tc>
          <w:tcPr>
            <w:tcW w:w="4904" w:type="dxa"/>
            <w:shd w:val="clear" w:color="auto" w:fill="F2F2F2"/>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left="0" w:right="0" w:firstLine="0" w:firstLineChars="0"/>
              <w:jc w:val="both"/>
              <w:textAlignment w:val="auto"/>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管理基本知识与技能：管理学、组织行为学、人力资源开发与管理、市场学、领导科学与艺术等课程。</w:t>
            </w:r>
          </w:p>
          <w:p>
            <w:pPr>
              <w:keepNext w:val="0"/>
              <w:keepLines w:val="0"/>
              <w:pageBreakBefore w:val="0"/>
              <w:widowControl w:val="0"/>
              <w:kinsoku/>
              <w:wordWrap/>
              <w:overflowPunct/>
              <w:topLinePunct w:val="0"/>
              <w:autoSpaceDE w:val="0"/>
              <w:autoSpaceDN w:val="0"/>
              <w:bidi w:val="0"/>
              <w:adjustRightInd/>
              <w:snapToGrid/>
              <w:spacing w:line="240" w:lineRule="auto"/>
              <w:ind w:left="0" w:right="0" w:firstLine="0" w:firstLineChars="0"/>
              <w:jc w:val="both"/>
              <w:textAlignment w:val="auto"/>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业务知识与技能：负责的业务领域如技术、销售等领域的知识与技能。</w:t>
            </w:r>
          </w:p>
          <w:p>
            <w:pPr>
              <w:keepNext w:val="0"/>
              <w:keepLines w:val="0"/>
              <w:pageBreakBefore w:val="0"/>
              <w:widowControl w:val="0"/>
              <w:kinsoku/>
              <w:wordWrap/>
              <w:overflowPunct/>
              <w:topLinePunct w:val="0"/>
              <w:autoSpaceDE w:val="0"/>
              <w:autoSpaceDN w:val="0"/>
              <w:bidi w:val="0"/>
              <w:adjustRightInd/>
              <w:snapToGrid/>
              <w:spacing w:line="240" w:lineRule="auto"/>
              <w:ind w:left="0" w:right="0" w:firstLine="0" w:firstLineChars="0"/>
              <w:jc w:val="both"/>
              <w:textAlignment w:val="auto"/>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工作改进：工作分配、工作方法的改进、工作流程的改进。</w:t>
            </w:r>
          </w:p>
        </w:tc>
        <w:tc>
          <w:tcPr>
            <w:tcW w:w="2945" w:type="dxa"/>
            <w:shd w:val="clear" w:color="auto" w:fill="F2F2F2"/>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left="0" w:right="0" w:firstLine="0" w:firstLineChars="0"/>
              <w:jc w:val="both"/>
              <w:textAlignment w:val="auto"/>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以公司内训为主，外训为辅。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3" w:hRule="atLeast"/>
          <w:jc w:val="center"/>
        </w:trPr>
        <w:tc>
          <w:tcPr>
            <w:tcW w:w="1135" w:type="dxa"/>
            <w:shd w:val="clear" w:color="auto" w:fill="F2F2F2"/>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left="0" w:right="0" w:firstLine="0" w:firstLineChars="0"/>
              <w:jc w:val="center"/>
              <w:textAlignment w:val="auto"/>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基层人员</w:t>
            </w:r>
          </w:p>
        </w:tc>
        <w:tc>
          <w:tcPr>
            <w:tcW w:w="4904" w:type="dxa"/>
            <w:shd w:val="clear" w:color="auto" w:fill="F2F2F2"/>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left="0" w:right="0" w:firstLine="0" w:firstLineChars="0"/>
              <w:jc w:val="both"/>
              <w:textAlignment w:val="auto"/>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针对在岗员工岗位职责、专业技能、操作规程、业务流程等进行反复强化培训，以使员工在充分掌握理论的基础上，能自由地应用、发挥、提高。</w:t>
            </w:r>
          </w:p>
        </w:tc>
        <w:tc>
          <w:tcPr>
            <w:tcW w:w="2945" w:type="dxa"/>
            <w:shd w:val="clear" w:color="auto" w:fill="F2F2F2"/>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left="0" w:right="0" w:firstLine="0" w:firstLineChars="0"/>
              <w:jc w:val="both"/>
              <w:textAlignment w:val="auto"/>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参考中层管理人员。</w:t>
            </w:r>
          </w:p>
        </w:tc>
      </w:tr>
    </w:tbl>
    <w:p>
      <w:pPr>
        <w:pStyle w:val="4"/>
        <w:keepNext w:val="0"/>
        <w:keepLines w:val="0"/>
        <w:pageBreakBefore w:val="0"/>
        <w:kinsoku/>
        <w:wordWrap/>
        <w:overflowPunct/>
        <w:topLinePunct w:val="0"/>
        <w:autoSpaceDE w:val="0"/>
        <w:autoSpaceDN w:val="0"/>
        <w:bidi w:val="0"/>
        <w:spacing w:line="360" w:lineRule="auto"/>
        <w:ind w:left="0" w:right="0" w:firstLine="480" w:firstLineChars="200"/>
        <w:jc w:val="both"/>
        <w:textAlignment w:val="auto"/>
      </w:pPr>
      <w:r>
        <w:rPr>
          <w:rFonts w:hint="eastAsia"/>
        </w:rPr>
        <w:t>此外，公司还注重员工自我学习氛围的构建，强调员工在工作之余不断自我学习的重要性，以此培育“与时俱进”的学习文化。</w:t>
      </w:r>
    </w:p>
    <w:p>
      <w:pPr>
        <w:pStyle w:val="4"/>
        <w:keepNext w:val="0"/>
        <w:keepLines w:val="0"/>
        <w:pageBreakBefore w:val="0"/>
        <w:kinsoku/>
        <w:wordWrap/>
        <w:overflowPunct/>
        <w:topLinePunct w:val="0"/>
        <w:autoSpaceDE w:val="0"/>
        <w:autoSpaceDN w:val="0"/>
        <w:bidi w:val="0"/>
        <w:spacing w:line="360" w:lineRule="auto"/>
        <w:ind w:left="0" w:right="0" w:firstLine="480" w:firstLineChars="200"/>
        <w:jc w:val="both"/>
        <w:textAlignment w:val="auto"/>
      </w:pPr>
      <w:r>
        <w:rPr>
          <w:rFonts w:hint="eastAsia"/>
        </w:rPr>
        <w:t>d）履行确保组织所提供产品和服务质量安全的责任</w:t>
      </w:r>
    </w:p>
    <w:p>
      <w:pPr>
        <w:pStyle w:val="4"/>
        <w:keepNext w:val="0"/>
        <w:keepLines w:val="0"/>
        <w:pageBreakBefore w:val="0"/>
        <w:kinsoku/>
        <w:wordWrap/>
        <w:overflowPunct/>
        <w:topLinePunct w:val="0"/>
        <w:autoSpaceDE w:val="0"/>
        <w:autoSpaceDN w:val="0"/>
        <w:bidi w:val="0"/>
        <w:spacing w:line="360" w:lineRule="auto"/>
        <w:ind w:left="0" w:right="0" w:firstLine="480" w:firstLineChars="200"/>
        <w:jc w:val="both"/>
        <w:textAlignment w:val="auto"/>
      </w:pPr>
      <w:r>
        <w:rPr>
          <w:rFonts w:hint="eastAsia"/>
        </w:rPr>
        <w:t>在</w:t>
      </w:r>
      <w:r>
        <w:rPr>
          <w:rFonts w:hint="eastAsia"/>
          <w:lang w:val="en-US" w:eastAsia="zh-CN"/>
        </w:rPr>
        <w:t>电气</w:t>
      </w:r>
      <w:r>
        <w:rPr>
          <w:rFonts w:hint="eastAsia"/>
        </w:rPr>
        <w:t>领域，产品品质、技术创新有着同等重要的位置，追求卓越的产品品质和领先的研发技术是一条漫长的道路。</w:t>
      </w:r>
      <w:r>
        <w:rPr>
          <w:rFonts w:hint="eastAsia"/>
          <w:lang w:eastAsia="zh-CN"/>
        </w:rPr>
        <w:t>南腾</w:t>
      </w:r>
      <w:r>
        <w:rPr>
          <w:rFonts w:hint="eastAsia"/>
        </w:rPr>
        <w:t>在坚持不懈中，高层领导始终坚持完善服务体系，努力提高产品品质，以市场规律为依据立足市场，在质和量的矛盾面前，确保产品质量再扩大产量、规模，以品质取胜。</w:t>
      </w:r>
    </w:p>
    <w:p>
      <w:pPr>
        <w:pStyle w:val="4"/>
        <w:keepNext w:val="0"/>
        <w:keepLines w:val="0"/>
        <w:pageBreakBefore w:val="0"/>
        <w:kinsoku/>
        <w:wordWrap/>
        <w:overflowPunct/>
        <w:topLinePunct w:val="0"/>
        <w:autoSpaceDE w:val="0"/>
        <w:autoSpaceDN w:val="0"/>
        <w:bidi w:val="0"/>
        <w:spacing w:line="360" w:lineRule="auto"/>
        <w:ind w:left="0" w:right="0" w:firstLine="480" w:firstLineChars="200"/>
        <w:jc w:val="both"/>
        <w:textAlignment w:val="auto"/>
      </w:pPr>
      <w:r>
        <w:rPr>
          <w:rFonts w:hint="eastAsia"/>
        </w:rPr>
        <w:t>为履行确保组织所提供产品和服务的质量安全的职责，引导组织承担质量安全主体责任，</w:t>
      </w:r>
      <w:r>
        <w:t>公司</w:t>
      </w:r>
      <w:r>
        <w:rPr>
          <w:rFonts w:hint="eastAsia"/>
        </w:rPr>
        <w:t>从价值链角度对包括设计开发、采购、生产、质量管理、销售等涉及产品和服务质量安全的过程进行了梳理、识别和分析，并根据创新与效率原则对过程进行设计，充分运用绩效系统对过程的实施进行监控，关注过程输入与输出，持续改进，形成有效的PDCA循环。为了保证所设计的流程能够有效的执行，公司针对每一过程分别制定操作说明书，并定期进行考核与监控</w:t>
      </w:r>
      <w:r>
        <w:t>。</w:t>
      </w:r>
    </w:p>
    <w:p>
      <w:pPr>
        <w:pStyle w:val="4"/>
        <w:keepNext w:val="0"/>
        <w:keepLines w:val="0"/>
        <w:pageBreakBefore w:val="0"/>
        <w:kinsoku/>
        <w:wordWrap/>
        <w:overflowPunct/>
        <w:topLinePunct w:val="0"/>
        <w:autoSpaceDE w:val="0"/>
        <w:autoSpaceDN w:val="0"/>
        <w:bidi w:val="0"/>
        <w:spacing w:line="360" w:lineRule="auto"/>
        <w:ind w:left="0" w:right="0" w:firstLine="480" w:firstLineChars="200"/>
        <w:jc w:val="both"/>
        <w:textAlignment w:val="auto"/>
      </w:pPr>
      <w:r>
        <w:rPr>
          <w:rFonts w:hint="eastAsia"/>
        </w:rPr>
        <w:t>公司内部导入并运行</w:t>
      </w:r>
      <w:r>
        <w:rPr>
          <w:rFonts w:hint="eastAsia"/>
          <w:lang w:val="en-US" w:eastAsia="zh-CN"/>
        </w:rPr>
        <w:t>GB/T19001-2016</w:t>
      </w:r>
      <w:r>
        <w:rPr>
          <w:rFonts w:hint="eastAsia"/>
        </w:rPr>
        <w:t xml:space="preserve"> 和</w:t>
      </w:r>
      <w:r>
        <w:rPr>
          <w:rFonts w:hint="eastAsia"/>
          <w:lang w:val="en-US" w:eastAsia="zh-CN"/>
        </w:rPr>
        <w:t>GB/T24001-2016</w:t>
      </w:r>
      <w:r>
        <w:rPr>
          <w:rFonts w:hint="eastAsia"/>
        </w:rPr>
        <w:t>、</w:t>
      </w:r>
      <w:r>
        <w:rPr>
          <w:rFonts w:hint="eastAsia"/>
          <w:lang w:val="en-US" w:eastAsia="zh-CN"/>
        </w:rPr>
        <w:t>GB/T45001-2020</w:t>
      </w:r>
      <w:r>
        <w:rPr>
          <w:rFonts w:hint="eastAsia"/>
        </w:rPr>
        <w:t>质量管理体系，以质取胜，以创新拓市场，成为行业之标杆。在履行确保组织所提供产品和服务质量安全的责任方面，公司在原料采购上对各原材料实施订单协议收购，强化对采购原材料的检验及质量全过程控制。</w:t>
      </w:r>
    </w:p>
    <w:p>
      <w:pPr>
        <w:pStyle w:val="4"/>
        <w:keepNext w:val="0"/>
        <w:keepLines w:val="0"/>
        <w:pageBreakBefore w:val="0"/>
        <w:kinsoku/>
        <w:wordWrap/>
        <w:overflowPunct/>
        <w:topLinePunct w:val="0"/>
        <w:autoSpaceDE w:val="0"/>
        <w:autoSpaceDN w:val="0"/>
        <w:bidi w:val="0"/>
        <w:spacing w:line="360" w:lineRule="auto"/>
        <w:ind w:left="0" w:right="0" w:firstLine="480" w:firstLineChars="200"/>
        <w:jc w:val="both"/>
        <w:textAlignment w:val="auto"/>
      </w:pPr>
      <w:r>
        <w:rPr>
          <w:rFonts w:hint="eastAsia"/>
        </w:rPr>
        <w:t>此外，公司</w:t>
      </w:r>
      <w:r>
        <w:t>完善的质量控制管理体系有效保证了产品质量的稳定</w:t>
      </w:r>
      <w:r>
        <w:rPr>
          <w:rFonts w:hint="eastAsia"/>
        </w:rPr>
        <w:t>，已制定了多项具体的质量控制措施，涵盖了从产品设计、原材料采购、产品制造、产品检验、性能测试、包装储运到客户服务等全过程等各个环节，对各部门的质量控制工作进行有效的指导和监督；同时，公司以满足客户要求作为标准，由各专门部门负责，认真抓好产品质量的持续改进工作。</w:t>
      </w:r>
    </w:p>
    <w:p>
      <w:pPr>
        <w:pStyle w:val="4"/>
        <w:keepNext w:val="0"/>
        <w:keepLines w:val="0"/>
        <w:pageBreakBefore w:val="0"/>
        <w:kinsoku/>
        <w:wordWrap/>
        <w:overflowPunct/>
        <w:topLinePunct w:val="0"/>
        <w:autoSpaceDE w:val="0"/>
        <w:autoSpaceDN w:val="0"/>
        <w:bidi w:val="0"/>
        <w:spacing w:line="360" w:lineRule="auto"/>
        <w:ind w:left="0" w:right="0" w:firstLine="480" w:firstLineChars="200"/>
        <w:jc w:val="both"/>
        <w:textAlignment w:val="auto"/>
      </w:pPr>
      <w:r>
        <w:rPr>
          <w:rFonts w:hint="eastAsia"/>
        </w:rPr>
        <w:t>e）推进品牌建设，提高产品质量和服务水平</w:t>
      </w:r>
    </w:p>
    <w:p>
      <w:pPr>
        <w:pStyle w:val="4"/>
        <w:keepNext w:val="0"/>
        <w:keepLines w:val="0"/>
        <w:pageBreakBefore w:val="0"/>
        <w:kinsoku/>
        <w:wordWrap/>
        <w:overflowPunct/>
        <w:topLinePunct w:val="0"/>
        <w:autoSpaceDE w:val="0"/>
        <w:autoSpaceDN w:val="0"/>
        <w:bidi w:val="0"/>
        <w:spacing w:line="360" w:lineRule="auto"/>
        <w:ind w:left="0" w:right="0" w:firstLine="480" w:firstLineChars="200"/>
        <w:jc w:val="both"/>
        <w:textAlignment w:val="auto"/>
      </w:pPr>
      <w:r>
        <w:rPr>
          <w:rFonts w:hint="eastAsia"/>
        </w:rPr>
        <w:t>为推进品牌建设，公司依据发展战略目标，制定了相应的品牌发展规划，通过积极参与行业协会活动、加大技术创新投入、完善渠道建设及售后服务等方式不断提高产品质量和服务水平。</w:t>
      </w:r>
    </w:p>
    <w:p>
      <w:pPr>
        <w:pStyle w:val="4"/>
        <w:keepNext w:val="0"/>
        <w:keepLines w:val="0"/>
        <w:pageBreakBefore w:val="0"/>
        <w:kinsoku/>
        <w:wordWrap/>
        <w:overflowPunct/>
        <w:topLinePunct w:val="0"/>
        <w:autoSpaceDE w:val="0"/>
        <w:autoSpaceDN w:val="0"/>
        <w:bidi w:val="0"/>
        <w:spacing w:line="360" w:lineRule="auto"/>
        <w:ind w:left="0" w:right="0" w:firstLine="480" w:firstLineChars="200"/>
        <w:jc w:val="both"/>
        <w:textAlignment w:val="auto"/>
      </w:pPr>
      <w:r>
        <w:rPr>
          <w:rFonts w:hint="eastAsia"/>
        </w:rPr>
        <w:t>以品牌为基础，推进文化</w:t>
      </w:r>
      <w:r>
        <w:rPr>
          <w:rFonts w:hint="eastAsia"/>
          <w:lang w:val="en-US"/>
        </w:rPr>
        <w:t>建设</w:t>
      </w:r>
    </w:p>
    <w:p>
      <w:pPr>
        <w:pStyle w:val="4"/>
        <w:keepNext w:val="0"/>
        <w:keepLines w:val="0"/>
        <w:pageBreakBefore w:val="0"/>
        <w:kinsoku/>
        <w:wordWrap/>
        <w:overflowPunct/>
        <w:topLinePunct w:val="0"/>
        <w:autoSpaceDE w:val="0"/>
        <w:autoSpaceDN w:val="0"/>
        <w:bidi w:val="0"/>
        <w:spacing w:line="360" w:lineRule="auto"/>
        <w:ind w:left="0" w:right="0" w:firstLine="480" w:firstLineChars="200"/>
        <w:jc w:val="both"/>
        <w:textAlignment w:val="auto"/>
      </w:pPr>
      <w:r>
        <w:rPr>
          <w:rFonts w:hint="eastAsia"/>
        </w:rPr>
        <w:t>公司成立之初便创建了自己的品牌</w:t>
      </w:r>
      <w:r>
        <w:rPr>
          <w:rFonts w:hint="eastAsia"/>
          <w:lang w:val="en-US"/>
        </w:rPr>
        <w:t>“</w:t>
      </w:r>
      <w:r>
        <w:rPr>
          <w:rFonts w:hint="eastAsia"/>
          <w:lang w:val="en-US" w:eastAsia="zh-CN"/>
        </w:rPr>
        <w:t>南腾</w:t>
      </w:r>
      <w:r>
        <w:rPr>
          <w:rFonts w:hint="eastAsia"/>
          <w:lang w:val="en-US"/>
        </w:rPr>
        <w:t>”</w:t>
      </w:r>
      <w:r>
        <w:rPr>
          <w:rFonts w:hint="eastAsia"/>
        </w:rPr>
        <w:t>，一直致力于走自主品牌建设之路</w:t>
      </w:r>
      <w:r>
        <w:rPr>
          <w:rFonts w:hint="eastAsia"/>
          <w:lang w:eastAsia="zh-CN"/>
        </w:rPr>
        <w:t>，</w:t>
      </w:r>
      <w:r>
        <w:rPr>
          <w:rFonts w:hint="eastAsia"/>
        </w:rPr>
        <w:t>公司在品牌建设方面下足了功夫。</w:t>
      </w:r>
    </w:p>
    <w:p>
      <w:pPr>
        <w:pStyle w:val="4"/>
        <w:keepNext w:val="0"/>
        <w:keepLines w:val="0"/>
        <w:pageBreakBefore w:val="0"/>
        <w:kinsoku/>
        <w:wordWrap/>
        <w:overflowPunct/>
        <w:topLinePunct w:val="0"/>
        <w:autoSpaceDE w:val="0"/>
        <w:autoSpaceDN w:val="0"/>
        <w:bidi w:val="0"/>
        <w:spacing w:line="360" w:lineRule="auto"/>
        <w:ind w:left="0" w:right="0" w:firstLine="480" w:firstLineChars="200"/>
        <w:jc w:val="both"/>
        <w:textAlignment w:val="auto"/>
      </w:pPr>
      <w:r>
        <w:rPr>
          <w:rFonts w:hint="eastAsia"/>
        </w:rPr>
        <w:t>f）强化风险意识以推动组织持续经营，积极培养组织未来的领导者</w:t>
      </w:r>
    </w:p>
    <w:p>
      <w:pPr>
        <w:pStyle w:val="4"/>
        <w:keepNext w:val="0"/>
        <w:keepLines w:val="0"/>
        <w:pageBreakBefore w:val="0"/>
        <w:kinsoku/>
        <w:wordWrap/>
        <w:overflowPunct/>
        <w:topLinePunct w:val="0"/>
        <w:autoSpaceDE w:val="0"/>
        <w:autoSpaceDN w:val="0"/>
        <w:bidi w:val="0"/>
        <w:spacing w:line="360" w:lineRule="auto"/>
        <w:ind w:left="0" w:right="0" w:firstLine="480" w:firstLineChars="200"/>
        <w:jc w:val="both"/>
        <w:textAlignment w:val="auto"/>
      </w:pPr>
      <w:r>
        <w:rPr>
          <w:rFonts w:hint="eastAsia"/>
        </w:rPr>
        <w:t>1）提升风险管理意识，推动组织持续经营</w:t>
      </w:r>
    </w:p>
    <w:p>
      <w:pPr>
        <w:spacing w:line="360" w:lineRule="auto"/>
        <w:ind w:firstLine="480" w:firstLineChars="200"/>
        <w:rPr>
          <w:rFonts w:hint="eastAsia" w:ascii="宋体" w:hAnsi="宋体" w:eastAsia="宋体" w:cs="宋体"/>
          <w:sz w:val="24"/>
          <w:szCs w:val="24"/>
          <w:lang w:val="zh-CN" w:eastAsia="zh-CN" w:bidi="zh-CN"/>
        </w:rPr>
      </w:pPr>
      <w:r>
        <w:rPr>
          <w:rFonts w:hint="eastAsia" w:ascii="宋体" w:hAnsi="宋体" w:eastAsia="宋体" w:cs="宋体"/>
          <w:sz w:val="24"/>
          <w:szCs w:val="24"/>
          <w:lang w:val="zh-CN" w:eastAsia="zh-CN" w:bidi="zh-CN"/>
        </w:rPr>
        <w:t>公司创立至今，在取得众多成就的同时，不断强化风险意识，推动组织的持续经营。为此，公司经营管理团队严格把控各部门工作中可能存在的风险点，密切关注外部环境中的潜在风险因素，积极采取风险预防措施，在国家政策、市场需求、产品质量、财务资金、运营管理等方面严格推行风险监测与保持风险敏感性，高层领导不断向公司各级员工灌输风险意识，强调市场竞争的残酷性及环境的复杂性，最小化各种潜在风险对公司的影响。在内部运营风险管理方面，公司对主要内部运营风险评价指标进行识别并采取预防措施，如财务管理每年定期对应收账款进行动态跟踪与管理，防范呆账和坏账风险。</w:t>
      </w:r>
    </w:p>
    <w:p>
      <w:pPr>
        <w:pStyle w:val="4"/>
        <w:keepNext w:val="0"/>
        <w:keepLines w:val="0"/>
        <w:pageBreakBefore w:val="0"/>
        <w:kinsoku/>
        <w:wordWrap/>
        <w:overflowPunct/>
        <w:topLinePunct w:val="0"/>
        <w:autoSpaceDE w:val="0"/>
        <w:autoSpaceDN w:val="0"/>
        <w:bidi w:val="0"/>
        <w:spacing w:line="360" w:lineRule="auto"/>
        <w:ind w:left="0" w:right="0" w:firstLine="420" w:firstLineChars="200"/>
        <w:jc w:val="center"/>
        <w:textAlignment w:val="auto"/>
        <w:rPr>
          <w:rFonts w:hint="eastAsia"/>
          <w:sz w:val="21"/>
          <w:szCs w:val="21"/>
        </w:rPr>
      </w:pPr>
    </w:p>
    <w:p>
      <w:pPr>
        <w:pStyle w:val="4"/>
        <w:keepNext w:val="0"/>
        <w:keepLines w:val="0"/>
        <w:pageBreakBefore w:val="0"/>
        <w:kinsoku/>
        <w:wordWrap/>
        <w:overflowPunct/>
        <w:topLinePunct w:val="0"/>
        <w:autoSpaceDE w:val="0"/>
        <w:autoSpaceDN w:val="0"/>
        <w:bidi w:val="0"/>
        <w:spacing w:line="360" w:lineRule="auto"/>
        <w:ind w:left="0" w:right="0" w:firstLine="420" w:firstLineChars="200"/>
        <w:jc w:val="center"/>
        <w:textAlignment w:val="auto"/>
        <w:rPr>
          <w:rFonts w:hint="eastAsia"/>
          <w:sz w:val="21"/>
          <w:szCs w:val="21"/>
        </w:rPr>
      </w:pPr>
    </w:p>
    <w:p>
      <w:pPr>
        <w:pStyle w:val="4"/>
        <w:keepNext w:val="0"/>
        <w:keepLines w:val="0"/>
        <w:pageBreakBefore w:val="0"/>
        <w:kinsoku/>
        <w:wordWrap/>
        <w:overflowPunct/>
        <w:topLinePunct w:val="0"/>
        <w:autoSpaceDE w:val="0"/>
        <w:autoSpaceDN w:val="0"/>
        <w:bidi w:val="0"/>
        <w:spacing w:line="360" w:lineRule="auto"/>
        <w:ind w:left="0" w:right="0" w:firstLine="420" w:firstLineChars="200"/>
        <w:jc w:val="center"/>
        <w:textAlignment w:val="auto"/>
        <w:rPr>
          <w:sz w:val="21"/>
          <w:szCs w:val="21"/>
        </w:rPr>
      </w:pPr>
      <w:r>
        <w:rPr>
          <w:rFonts w:hint="eastAsia"/>
          <w:sz w:val="21"/>
          <w:szCs w:val="21"/>
        </w:rPr>
        <w:t>表</w:t>
      </w:r>
      <w:r>
        <w:rPr>
          <w:rFonts w:hint="eastAsia"/>
          <w:sz w:val="21"/>
          <w:szCs w:val="21"/>
          <w:lang w:val="en-US"/>
        </w:rPr>
        <w:t>2</w:t>
      </w:r>
      <w:r>
        <w:rPr>
          <w:rFonts w:hint="eastAsia"/>
          <w:sz w:val="21"/>
          <w:szCs w:val="21"/>
        </w:rPr>
        <w:t>.1-</w:t>
      </w:r>
      <w:r>
        <w:rPr>
          <w:sz w:val="21"/>
          <w:szCs w:val="21"/>
        </w:rPr>
        <w:fldChar w:fldCharType="begin"/>
      </w:r>
      <w:r>
        <w:rPr>
          <w:rFonts w:hint="eastAsia"/>
          <w:sz w:val="21"/>
          <w:szCs w:val="21"/>
        </w:rPr>
        <w:instrText xml:space="preserve">SEQ 图表4.1- \* ARABIC</w:instrText>
      </w:r>
      <w:r>
        <w:rPr>
          <w:sz w:val="21"/>
          <w:szCs w:val="21"/>
        </w:rPr>
        <w:fldChar w:fldCharType="separate"/>
      </w:r>
      <w:r>
        <w:rPr>
          <w:sz w:val="21"/>
          <w:szCs w:val="21"/>
        </w:rPr>
        <w:t>5</w:t>
      </w:r>
      <w:r>
        <w:rPr>
          <w:sz w:val="21"/>
          <w:szCs w:val="21"/>
        </w:rPr>
        <w:fldChar w:fldCharType="end"/>
      </w:r>
      <w:r>
        <w:rPr>
          <w:rFonts w:hint="eastAsia"/>
          <w:sz w:val="21"/>
          <w:szCs w:val="21"/>
        </w:rPr>
        <w:t xml:space="preserve"> </w:t>
      </w:r>
      <w:r>
        <w:rPr>
          <w:rFonts w:hint="eastAsia"/>
          <w:sz w:val="21"/>
          <w:szCs w:val="21"/>
          <w:lang w:val="en-US" w:eastAsia="zh-CN"/>
        </w:rPr>
        <w:t>南腾</w:t>
      </w:r>
      <w:r>
        <w:rPr>
          <w:rFonts w:hint="eastAsia"/>
          <w:sz w:val="21"/>
          <w:szCs w:val="21"/>
        </w:rPr>
        <w:t>风险管理所采取的行动示例</w:t>
      </w:r>
    </w:p>
    <w:tbl>
      <w:tblPr>
        <w:tblStyle w:val="10"/>
        <w:tblW w:w="9003"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679"/>
        <w:gridCol w:w="1840"/>
        <w:gridCol w:w="2551"/>
        <w:gridCol w:w="393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90" w:hRule="atLeast"/>
          <w:tblHeader/>
          <w:jc w:val="center"/>
        </w:trPr>
        <w:tc>
          <w:tcPr>
            <w:tcW w:w="679" w:type="dxa"/>
            <w:shd w:val="clear" w:color="auto" w:fill="548DD4" w:themeFill="text2" w:themeFillTint="99"/>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ind w:left="0" w:right="0" w:firstLine="0" w:firstLineChars="0"/>
              <w:jc w:val="center"/>
              <w:textAlignment w:val="auto"/>
              <w:rPr>
                <w:rFonts w:ascii="微软雅黑" w:hAnsi="微软雅黑" w:eastAsia="微软雅黑"/>
                <w:b/>
                <w:sz w:val="21"/>
                <w:szCs w:val="21"/>
              </w:rPr>
            </w:pPr>
            <w:r>
              <w:rPr>
                <w:rFonts w:hint="eastAsia" w:ascii="微软雅黑" w:hAnsi="微软雅黑" w:eastAsia="微软雅黑"/>
                <w:b/>
                <w:sz w:val="21"/>
                <w:szCs w:val="21"/>
              </w:rPr>
              <w:t>风险类型</w:t>
            </w:r>
          </w:p>
        </w:tc>
        <w:tc>
          <w:tcPr>
            <w:tcW w:w="1840" w:type="dxa"/>
            <w:shd w:val="clear" w:color="auto" w:fill="548DD4" w:themeFill="text2" w:themeFillTint="99"/>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ind w:left="0" w:right="0" w:firstLine="0" w:firstLineChars="0"/>
              <w:jc w:val="center"/>
              <w:textAlignment w:val="auto"/>
              <w:rPr>
                <w:rFonts w:ascii="微软雅黑" w:hAnsi="微软雅黑" w:eastAsia="微软雅黑"/>
                <w:b/>
                <w:sz w:val="21"/>
                <w:szCs w:val="21"/>
              </w:rPr>
            </w:pPr>
            <w:r>
              <w:rPr>
                <w:rFonts w:hint="eastAsia" w:ascii="微软雅黑" w:hAnsi="微软雅黑" w:eastAsia="微软雅黑"/>
                <w:b/>
                <w:sz w:val="21"/>
                <w:szCs w:val="21"/>
              </w:rPr>
              <w:t>可能的负面影响</w:t>
            </w:r>
          </w:p>
        </w:tc>
        <w:tc>
          <w:tcPr>
            <w:tcW w:w="2551" w:type="dxa"/>
            <w:shd w:val="clear" w:color="auto" w:fill="548DD4" w:themeFill="text2" w:themeFillTint="99"/>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ind w:left="0" w:right="0" w:firstLine="0" w:firstLineChars="0"/>
              <w:jc w:val="center"/>
              <w:textAlignment w:val="auto"/>
              <w:rPr>
                <w:rFonts w:ascii="微软雅黑" w:hAnsi="微软雅黑" w:eastAsia="微软雅黑"/>
                <w:b/>
                <w:sz w:val="21"/>
                <w:szCs w:val="21"/>
              </w:rPr>
            </w:pPr>
            <w:r>
              <w:rPr>
                <w:rFonts w:hint="eastAsia" w:ascii="微软雅黑" w:hAnsi="微软雅黑" w:eastAsia="微软雅黑"/>
                <w:b/>
                <w:sz w:val="21"/>
                <w:szCs w:val="21"/>
              </w:rPr>
              <w:t>导致风险的主要因素</w:t>
            </w:r>
          </w:p>
        </w:tc>
        <w:tc>
          <w:tcPr>
            <w:tcW w:w="3933" w:type="dxa"/>
            <w:shd w:val="clear" w:color="auto" w:fill="548DD4" w:themeFill="text2" w:themeFillTint="99"/>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ind w:left="0" w:right="0" w:firstLine="0" w:firstLineChars="0"/>
              <w:jc w:val="center"/>
              <w:textAlignment w:val="auto"/>
              <w:rPr>
                <w:rFonts w:ascii="微软雅黑" w:hAnsi="微软雅黑" w:eastAsia="微软雅黑"/>
                <w:b/>
                <w:sz w:val="21"/>
                <w:szCs w:val="21"/>
              </w:rPr>
            </w:pPr>
            <w:r>
              <w:rPr>
                <w:rFonts w:hint="eastAsia" w:ascii="微软雅黑" w:hAnsi="微软雅黑" w:eastAsia="微软雅黑"/>
                <w:b/>
                <w:sz w:val="21"/>
                <w:szCs w:val="21"/>
              </w:rPr>
              <w:t>风险控制措施</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679" w:type="dxa"/>
            <w:shd w:val="clear" w:color="auto" w:fill="F2F2F2"/>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ind w:left="0" w:right="0" w:firstLine="0" w:firstLineChars="0"/>
              <w:jc w:val="center"/>
              <w:textAlignment w:val="auto"/>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经营风险</w:t>
            </w:r>
          </w:p>
        </w:tc>
        <w:tc>
          <w:tcPr>
            <w:tcW w:w="1840" w:type="dxa"/>
            <w:shd w:val="clear" w:color="auto" w:fill="F2F2F2"/>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ind w:left="0" w:right="0" w:firstLine="0" w:firstLineChars="0"/>
              <w:jc w:val="both"/>
              <w:textAlignment w:val="auto"/>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经营决策失误导致公司经营问题</w:t>
            </w:r>
          </w:p>
        </w:tc>
        <w:tc>
          <w:tcPr>
            <w:tcW w:w="2551" w:type="dxa"/>
            <w:shd w:val="clear" w:color="auto" w:fill="F2F2F2"/>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ind w:left="0" w:right="0" w:firstLine="0" w:firstLineChars="0"/>
              <w:jc w:val="both"/>
              <w:textAlignment w:val="auto"/>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产业政策变化、市场分析与定位不准、战略决策过程不合理等</w:t>
            </w:r>
          </w:p>
        </w:tc>
        <w:tc>
          <w:tcPr>
            <w:tcW w:w="3933" w:type="dxa"/>
            <w:shd w:val="clear" w:color="auto" w:fill="F2F2F2"/>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ind w:left="0" w:right="0" w:firstLine="0" w:firstLineChars="0"/>
              <w:jc w:val="both"/>
              <w:textAlignment w:val="auto"/>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成立战略管理小组，完善战略管理流程，运用科学的战略分析与制定工具，确保战略落地；建立战略监控管理机制，定期动态调整</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679" w:type="dxa"/>
            <w:shd w:val="clear" w:color="auto" w:fill="F2F2F2"/>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ind w:left="0" w:right="0" w:firstLine="0" w:firstLineChars="0"/>
              <w:jc w:val="center"/>
              <w:textAlignment w:val="auto"/>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财务风险</w:t>
            </w:r>
          </w:p>
        </w:tc>
        <w:tc>
          <w:tcPr>
            <w:tcW w:w="1840" w:type="dxa"/>
            <w:shd w:val="clear" w:color="auto" w:fill="F2F2F2"/>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ind w:left="0" w:right="0" w:firstLine="0" w:firstLineChars="0"/>
              <w:jc w:val="both"/>
              <w:textAlignment w:val="auto"/>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财务危机，影响收益，导致经营困境</w:t>
            </w:r>
          </w:p>
        </w:tc>
        <w:tc>
          <w:tcPr>
            <w:tcW w:w="2551" w:type="dxa"/>
            <w:shd w:val="clear" w:color="auto" w:fill="F2F2F2"/>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ind w:left="0" w:right="0" w:firstLine="0" w:firstLineChars="0"/>
              <w:jc w:val="both"/>
              <w:textAlignment w:val="auto"/>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税收、汇率等财务环境变化，投资、筹资措施不科学，资金回收与管理不善，分配政策不规范</w:t>
            </w:r>
          </w:p>
        </w:tc>
        <w:tc>
          <w:tcPr>
            <w:tcW w:w="3933" w:type="dxa"/>
            <w:shd w:val="clear" w:color="auto" w:fill="F2F2F2"/>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ind w:left="0" w:right="0" w:firstLine="0" w:firstLineChars="0"/>
              <w:jc w:val="both"/>
              <w:textAlignment w:val="auto"/>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建立完善的财务管理体系，健全全面预算管理、建立财务风险管控机制、不断提升资金周转率和使用效率等</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679" w:type="dxa"/>
            <w:shd w:val="clear" w:color="auto" w:fill="F2F2F2"/>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ind w:left="0" w:right="0" w:firstLine="0" w:firstLineChars="0"/>
              <w:jc w:val="center"/>
              <w:textAlignment w:val="auto"/>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品牌风险</w:t>
            </w:r>
          </w:p>
        </w:tc>
        <w:tc>
          <w:tcPr>
            <w:tcW w:w="1840" w:type="dxa"/>
            <w:shd w:val="clear" w:color="auto" w:fill="F2F2F2"/>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ind w:left="0" w:right="0" w:firstLine="0" w:firstLineChars="0"/>
              <w:jc w:val="both"/>
              <w:textAlignment w:val="auto"/>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品牌损害</w:t>
            </w:r>
          </w:p>
        </w:tc>
        <w:tc>
          <w:tcPr>
            <w:tcW w:w="2551" w:type="dxa"/>
            <w:shd w:val="clear" w:color="auto" w:fill="F2F2F2"/>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ind w:left="0" w:right="0" w:firstLine="0" w:firstLineChars="0"/>
              <w:jc w:val="both"/>
              <w:textAlignment w:val="auto"/>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重大质量事故或因舆情监控管理不当导致</w:t>
            </w:r>
          </w:p>
        </w:tc>
        <w:tc>
          <w:tcPr>
            <w:tcW w:w="3933" w:type="dxa"/>
            <w:shd w:val="clear" w:color="auto" w:fill="F2F2F2"/>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ind w:left="0" w:right="0" w:firstLine="0" w:firstLineChars="0"/>
              <w:jc w:val="both"/>
              <w:textAlignment w:val="auto"/>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持续完善内部品牌管理过程，建立舆情监控系统，维护品牌知名度与美誉度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679" w:type="dxa"/>
            <w:shd w:val="clear" w:color="auto" w:fill="F2F2F2"/>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ind w:left="0" w:right="0" w:firstLine="0" w:firstLineChars="0"/>
              <w:jc w:val="center"/>
              <w:textAlignment w:val="auto"/>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质量风险</w:t>
            </w:r>
          </w:p>
        </w:tc>
        <w:tc>
          <w:tcPr>
            <w:tcW w:w="1840" w:type="dxa"/>
            <w:shd w:val="clear" w:color="auto" w:fill="F2F2F2"/>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ind w:left="0" w:right="0" w:firstLine="0" w:firstLineChars="0"/>
              <w:jc w:val="both"/>
              <w:textAlignment w:val="auto"/>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法律追责、产品失信</w:t>
            </w:r>
          </w:p>
        </w:tc>
        <w:tc>
          <w:tcPr>
            <w:tcW w:w="2551" w:type="dxa"/>
            <w:shd w:val="clear" w:color="auto" w:fill="F2F2F2"/>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ind w:left="0" w:right="0" w:firstLine="0" w:firstLineChars="0"/>
              <w:jc w:val="both"/>
              <w:textAlignment w:val="auto"/>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产品设计考虑不周、生产技术水平不够、生产过程把关不严</w:t>
            </w:r>
          </w:p>
        </w:tc>
        <w:tc>
          <w:tcPr>
            <w:tcW w:w="3933" w:type="dxa"/>
            <w:shd w:val="clear" w:color="auto" w:fill="F2F2F2"/>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ind w:left="0" w:right="0" w:firstLine="0" w:firstLineChars="0"/>
              <w:jc w:val="both"/>
              <w:textAlignment w:val="auto"/>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建立产品全生命周期管理体系，从设计-采购-生产-物流-营销-售后服务等全过程管控质量</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679" w:type="dxa"/>
            <w:shd w:val="clear" w:color="auto" w:fill="F2F2F2"/>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ind w:left="0" w:right="0" w:firstLine="0" w:firstLineChars="0"/>
              <w:jc w:val="center"/>
              <w:textAlignment w:val="auto"/>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安全风险</w:t>
            </w:r>
          </w:p>
        </w:tc>
        <w:tc>
          <w:tcPr>
            <w:tcW w:w="1840" w:type="dxa"/>
            <w:shd w:val="clear" w:color="auto" w:fill="F2F2F2"/>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ind w:left="0" w:right="0" w:firstLine="0" w:firstLineChars="0"/>
              <w:jc w:val="both"/>
              <w:textAlignment w:val="auto"/>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员工人身损害，资产损失，法律追责</w:t>
            </w:r>
          </w:p>
        </w:tc>
        <w:tc>
          <w:tcPr>
            <w:tcW w:w="2551" w:type="dxa"/>
            <w:shd w:val="clear" w:color="auto" w:fill="F2F2F2"/>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ind w:left="0" w:right="0" w:firstLine="0" w:firstLineChars="0"/>
              <w:jc w:val="both"/>
              <w:textAlignment w:val="auto"/>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全员安全意识不足、日常管理不规范、安全防护措施不到位</w:t>
            </w:r>
          </w:p>
        </w:tc>
        <w:tc>
          <w:tcPr>
            <w:tcW w:w="3933" w:type="dxa"/>
            <w:shd w:val="clear" w:color="auto" w:fill="F2F2F2"/>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ind w:left="0" w:right="0" w:firstLine="0" w:firstLineChars="0"/>
              <w:jc w:val="both"/>
              <w:textAlignment w:val="auto"/>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建立安全生产责任制，强化员工安全意识，定期开展安全生产培训，提升安全管理水平</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679" w:type="dxa"/>
            <w:shd w:val="clear" w:color="auto" w:fill="F2F2F2"/>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ind w:left="0" w:right="0" w:firstLine="0" w:firstLineChars="0"/>
              <w:jc w:val="center"/>
              <w:textAlignment w:val="auto"/>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环境风险</w:t>
            </w:r>
          </w:p>
        </w:tc>
        <w:tc>
          <w:tcPr>
            <w:tcW w:w="1840" w:type="dxa"/>
            <w:shd w:val="clear" w:color="auto" w:fill="F2F2F2"/>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ind w:left="0" w:right="0" w:firstLine="0" w:firstLineChars="0"/>
              <w:jc w:val="both"/>
              <w:textAlignment w:val="auto"/>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环境变化影响正常经营</w:t>
            </w:r>
          </w:p>
        </w:tc>
        <w:tc>
          <w:tcPr>
            <w:tcW w:w="2551" w:type="dxa"/>
            <w:shd w:val="clear" w:color="auto" w:fill="F2F2F2"/>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ind w:left="0" w:right="0" w:firstLine="0" w:firstLineChars="0"/>
              <w:jc w:val="both"/>
              <w:textAlignment w:val="auto"/>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气候恶劣变化、“三废”排放等</w:t>
            </w:r>
          </w:p>
        </w:tc>
        <w:tc>
          <w:tcPr>
            <w:tcW w:w="3933" w:type="dxa"/>
            <w:shd w:val="clear" w:color="auto" w:fill="F2F2F2"/>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ind w:left="0" w:right="0" w:firstLine="0" w:firstLineChars="0"/>
              <w:jc w:val="both"/>
              <w:textAlignment w:val="auto"/>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持续完善环境管理体系，每年开展关键场所环境影响因素的识别、评价和应对工作，建立方针、目标和管理方案等</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0" w:hRule="atLeast"/>
          <w:jc w:val="center"/>
        </w:trPr>
        <w:tc>
          <w:tcPr>
            <w:tcW w:w="679" w:type="dxa"/>
            <w:shd w:val="clear" w:color="auto" w:fill="F2F2F2"/>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ind w:left="0" w:right="0" w:firstLine="0" w:firstLineChars="0"/>
              <w:jc w:val="center"/>
              <w:textAlignment w:val="auto"/>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市场风险</w:t>
            </w:r>
          </w:p>
        </w:tc>
        <w:tc>
          <w:tcPr>
            <w:tcW w:w="1840" w:type="dxa"/>
            <w:shd w:val="clear" w:color="auto" w:fill="F2F2F2"/>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ind w:left="0" w:right="0" w:firstLine="0" w:firstLineChars="0"/>
              <w:jc w:val="both"/>
              <w:textAlignment w:val="auto"/>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产品市场认可度降低、市场占有率降低</w:t>
            </w:r>
          </w:p>
        </w:tc>
        <w:tc>
          <w:tcPr>
            <w:tcW w:w="2551" w:type="dxa"/>
            <w:shd w:val="clear" w:color="auto" w:fill="F2F2F2"/>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ind w:left="0" w:right="0" w:firstLine="0" w:firstLineChars="0"/>
              <w:jc w:val="both"/>
              <w:textAlignment w:val="auto"/>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市场客户意见反馈处理不到位，产品售后服务不及时，产品上市管理不足</w:t>
            </w:r>
          </w:p>
        </w:tc>
        <w:tc>
          <w:tcPr>
            <w:tcW w:w="3933" w:type="dxa"/>
            <w:shd w:val="clear" w:color="auto" w:fill="F2F2F2"/>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ind w:left="0" w:right="0" w:firstLine="0" w:firstLineChars="0"/>
              <w:jc w:val="both"/>
              <w:textAlignment w:val="auto"/>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关注竞争对手、标杆企业的动态，分析市场竞争成功要素，努力形成自身核心竞争优势，把握市场变化，产品研发创新，并通过品牌营销，提升品牌形象</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679" w:type="dxa"/>
            <w:shd w:val="clear" w:color="auto" w:fill="F2F2F2"/>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ind w:left="0" w:right="0" w:firstLine="0" w:firstLineChars="0"/>
              <w:jc w:val="center"/>
              <w:textAlignment w:val="auto"/>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人才风险</w:t>
            </w:r>
          </w:p>
        </w:tc>
        <w:tc>
          <w:tcPr>
            <w:tcW w:w="1840" w:type="dxa"/>
            <w:shd w:val="clear" w:color="auto" w:fill="F2F2F2"/>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ind w:left="0" w:right="0" w:firstLine="0" w:firstLineChars="0"/>
              <w:jc w:val="both"/>
              <w:textAlignment w:val="auto"/>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人才流失、后备人才不足、关键岗位人才缺失、人员工作积极性不足</w:t>
            </w:r>
          </w:p>
        </w:tc>
        <w:tc>
          <w:tcPr>
            <w:tcW w:w="2551" w:type="dxa"/>
            <w:shd w:val="clear" w:color="auto" w:fill="F2F2F2"/>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ind w:left="0" w:right="0" w:firstLine="0" w:firstLineChars="0"/>
              <w:jc w:val="both"/>
              <w:textAlignment w:val="auto"/>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人才选拔、培养、配置、激励机制不健全，人才梯队建设不到位</w:t>
            </w:r>
          </w:p>
        </w:tc>
        <w:tc>
          <w:tcPr>
            <w:tcW w:w="3933" w:type="dxa"/>
            <w:shd w:val="clear" w:color="auto" w:fill="F2F2F2"/>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ind w:left="0" w:right="0" w:firstLine="0" w:firstLineChars="0"/>
              <w:jc w:val="both"/>
              <w:textAlignment w:val="auto"/>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注重人员内部培训与外部引进；建立储备干部培养制度，并重点培养、考察，逐步培养企业核心人才及未来领导者</w:t>
            </w:r>
          </w:p>
        </w:tc>
      </w:tr>
    </w:tbl>
    <w:p>
      <w:pPr>
        <w:pStyle w:val="4"/>
        <w:keepNext w:val="0"/>
        <w:keepLines w:val="0"/>
        <w:pageBreakBefore w:val="0"/>
        <w:kinsoku/>
        <w:wordWrap/>
        <w:overflowPunct/>
        <w:topLinePunct w:val="0"/>
        <w:autoSpaceDE w:val="0"/>
        <w:autoSpaceDN w:val="0"/>
        <w:bidi w:val="0"/>
        <w:spacing w:line="360" w:lineRule="auto"/>
        <w:ind w:left="0" w:right="0" w:firstLine="480" w:firstLineChars="200"/>
        <w:jc w:val="both"/>
        <w:textAlignment w:val="auto"/>
      </w:pPr>
      <w:r>
        <w:t>2</w:t>
      </w:r>
      <w:r>
        <w:rPr>
          <w:rFonts w:hint="eastAsia"/>
        </w:rPr>
        <w:t>）加强未来管理者培养，建立组织人才梯队</w:t>
      </w:r>
    </w:p>
    <w:p>
      <w:pPr>
        <w:pStyle w:val="4"/>
        <w:keepNext w:val="0"/>
        <w:keepLines w:val="0"/>
        <w:pageBreakBefore w:val="0"/>
        <w:kinsoku/>
        <w:wordWrap/>
        <w:overflowPunct/>
        <w:topLinePunct w:val="0"/>
        <w:autoSpaceDE w:val="0"/>
        <w:autoSpaceDN w:val="0"/>
        <w:bidi w:val="0"/>
        <w:spacing w:line="360" w:lineRule="auto"/>
        <w:ind w:left="0" w:right="0" w:firstLine="480" w:firstLineChars="200"/>
        <w:jc w:val="both"/>
        <w:textAlignment w:val="auto"/>
      </w:pPr>
      <w:r>
        <w:rPr>
          <w:rFonts w:hint="eastAsia"/>
        </w:rPr>
        <w:t>为确保组织的延续性，根据人力资源发展规划，公司在人力资源管理过程中设定人才梯队建设这一关键绩效指标，定期开展人才盘点工作，识别组织的关键岗位及后备管理人员，对关键岗位继任者进行甄选、组织管理形式、培养方式、评估、晋升等内容进行梳理。</w:t>
      </w:r>
    </w:p>
    <w:p>
      <w:pPr>
        <w:pStyle w:val="4"/>
        <w:keepNext w:val="0"/>
        <w:keepLines w:val="0"/>
        <w:pageBreakBefore w:val="0"/>
        <w:kinsoku/>
        <w:wordWrap/>
        <w:overflowPunct/>
        <w:topLinePunct w:val="0"/>
        <w:autoSpaceDE w:val="0"/>
        <w:autoSpaceDN w:val="0"/>
        <w:bidi w:val="0"/>
        <w:spacing w:line="360" w:lineRule="auto"/>
        <w:ind w:left="0" w:right="0" w:firstLine="480" w:firstLineChars="200"/>
        <w:jc w:val="both"/>
        <w:textAlignment w:val="auto"/>
      </w:pPr>
      <w:r>
        <w:rPr>
          <w:rFonts w:hint="eastAsia"/>
        </w:rPr>
        <w:t>同时，公司针对不同类型岗位开展针对性的培训，通过专业技能、管理学科等方面的培训提升综合素质，结合公司内部培训以及外部培训、岗位轮换等方式，不断提升各级领导者的综合领导力。</w:t>
      </w:r>
    </w:p>
    <w:p>
      <w:pPr>
        <w:pStyle w:val="4"/>
        <w:keepNext w:val="0"/>
        <w:keepLines w:val="0"/>
        <w:pageBreakBefore w:val="0"/>
        <w:kinsoku/>
        <w:wordWrap/>
        <w:overflowPunct/>
        <w:topLinePunct w:val="0"/>
        <w:autoSpaceDE w:val="0"/>
        <w:autoSpaceDN w:val="0"/>
        <w:bidi w:val="0"/>
        <w:spacing w:line="360" w:lineRule="auto"/>
        <w:ind w:left="0" w:right="0" w:firstLine="480" w:firstLineChars="200"/>
        <w:jc w:val="both"/>
        <w:textAlignment w:val="auto"/>
      </w:pPr>
      <w:r>
        <w:rPr>
          <w:rFonts w:hint="eastAsia"/>
        </w:rPr>
        <w:t>g）定期评价组织绩效并不断提升改进</w:t>
      </w:r>
    </w:p>
    <w:p>
      <w:pPr>
        <w:pStyle w:val="4"/>
        <w:keepNext w:val="0"/>
        <w:keepLines w:val="0"/>
        <w:pageBreakBefore w:val="0"/>
        <w:kinsoku/>
        <w:wordWrap/>
        <w:overflowPunct/>
        <w:topLinePunct w:val="0"/>
        <w:autoSpaceDE w:val="0"/>
        <w:autoSpaceDN w:val="0"/>
        <w:bidi w:val="0"/>
        <w:spacing w:line="360" w:lineRule="auto"/>
        <w:ind w:left="0" w:right="0" w:firstLine="480" w:firstLineChars="200"/>
        <w:jc w:val="both"/>
        <w:textAlignment w:val="auto"/>
      </w:pPr>
      <w:r>
        <w:t>1</w:t>
      </w:r>
      <w:r>
        <w:rPr>
          <w:rFonts w:hint="eastAsia"/>
        </w:rPr>
        <w:t>）建立科学的绩效评价体系以评价组织绩效</w:t>
      </w:r>
    </w:p>
    <w:p>
      <w:pPr>
        <w:pStyle w:val="4"/>
        <w:keepNext w:val="0"/>
        <w:keepLines w:val="0"/>
        <w:pageBreakBefore w:val="0"/>
        <w:kinsoku/>
        <w:wordWrap/>
        <w:overflowPunct/>
        <w:topLinePunct w:val="0"/>
        <w:autoSpaceDE w:val="0"/>
        <w:autoSpaceDN w:val="0"/>
        <w:bidi w:val="0"/>
        <w:spacing w:line="360" w:lineRule="auto"/>
        <w:ind w:left="0" w:right="0" w:firstLine="480" w:firstLineChars="200"/>
        <w:jc w:val="both"/>
        <w:textAlignment w:val="auto"/>
      </w:pPr>
      <w:r>
        <w:rPr>
          <w:rFonts w:hint="eastAsia"/>
        </w:rPr>
        <w:t>高层领导从财务、顾客与市场、内部运营、学习与成长、战略管理等方面定期评估组织的绩效和能力，并适时调整，持续改进，追求卓越绩效，提升组织的应变能力。</w:t>
      </w:r>
    </w:p>
    <w:p>
      <w:pPr>
        <w:pStyle w:val="4"/>
        <w:keepNext w:val="0"/>
        <w:keepLines w:val="0"/>
        <w:pageBreakBefore w:val="0"/>
        <w:kinsoku/>
        <w:wordWrap/>
        <w:overflowPunct/>
        <w:topLinePunct w:val="0"/>
        <w:autoSpaceDE w:val="0"/>
        <w:autoSpaceDN w:val="0"/>
        <w:bidi w:val="0"/>
        <w:spacing w:line="360" w:lineRule="auto"/>
        <w:ind w:left="0" w:right="0" w:firstLine="480" w:firstLineChars="200"/>
        <w:jc w:val="both"/>
        <w:textAlignment w:val="auto"/>
      </w:pPr>
      <w:r>
        <w:rPr>
          <w:rFonts w:hint="eastAsia"/>
        </w:rPr>
        <w:t>高层领导为了实现战略目标和行动计划，推行以目标管理为主的方法。每年的经营任务指标和方针确定后，将公司的年度经营任务目标化解成每季每月目标，向全体员工传达、分解，确保每一位员工都了解当年的目标任务。</w:t>
      </w:r>
    </w:p>
    <w:p>
      <w:pPr>
        <w:pStyle w:val="4"/>
        <w:keepNext w:val="0"/>
        <w:keepLines w:val="0"/>
        <w:pageBreakBefore w:val="0"/>
        <w:kinsoku/>
        <w:wordWrap/>
        <w:overflowPunct/>
        <w:topLinePunct w:val="0"/>
        <w:autoSpaceDE w:val="0"/>
        <w:autoSpaceDN w:val="0"/>
        <w:bidi w:val="0"/>
        <w:spacing w:line="360" w:lineRule="auto"/>
        <w:ind w:left="0" w:right="0" w:firstLine="480" w:firstLineChars="200"/>
        <w:jc w:val="both"/>
        <w:textAlignment w:val="auto"/>
      </w:pPr>
      <w:r>
        <w:rPr>
          <w:rFonts w:hint="eastAsia"/>
        </w:rPr>
        <w:t>公司高层领导进行绩效评审，并对未完成的指标加以明确，并进行跟踪，及时掌握指标完成情况，必要时采取适当措施。</w:t>
      </w:r>
    </w:p>
    <w:p>
      <w:pPr>
        <w:pStyle w:val="4"/>
        <w:keepNext w:val="0"/>
        <w:keepLines w:val="0"/>
        <w:pageBreakBefore w:val="0"/>
        <w:kinsoku/>
        <w:wordWrap/>
        <w:overflowPunct/>
        <w:topLinePunct w:val="0"/>
        <w:autoSpaceDE w:val="0"/>
        <w:autoSpaceDN w:val="0"/>
        <w:bidi w:val="0"/>
        <w:spacing w:line="360" w:lineRule="auto"/>
        <w:ind w:left="0" w:right="0" w:firstLine="480" w:firstLineChars="200"/>
        <w:jc w:val="both"/>
        <w:textAlignment w:val="auto"/>
      </w:pPr>
      <w:r>
        <w:rPr>
          <w:rFonts w:hint="eastAsia"/>
        </w:rPr>
        <w:t>通过年度形势分析会、年度战略研讨会、月度例会、绩效考核等方式，定期对关键绩效指标、战略经营情况、生产经营指标、日常运营情况进行审核、评价，以不断改进组织绩效，采取必要的行动。</w:t>
      </w:r>
    </w:p>
    <w:p>
      <w:pPr>
        <w:pStyle w:val="4"/>
        <w:keepNext w:val="0"/>
        <w:keepLines w:val="0"/>
        <w:pageBreakBefore w:val="0"/>
        <w:kinsoku/>
        <w:wordWrap/>
        <w:overflowPunct/>
        <w:topLinePunct w:val="0"/>
        <w:autoSpaceDE w:val="0"/>
        <w:autoSpaceDN w:val="0"/>
        <w:bidi w:val="0"/>
        <w:spacing w:line="360" w:lineRule="auto"/>
        <w:ind w:left="0" w:right="0" w:firstLine="480" w:firstLineChars="200"/>
        <w:jc w:val="both"/>
        <w:textAlignment w:val="auto"/>
      </w:pPr>
      <w:r>
        <w:rPr>
          <w:rFonts w:hint="eastAsia"/>
        </w:rPr>
        <w:t>通过每月的成本、绩效考核、项目的分阶段例会等活动，对公司取得的阶段性经营结果、成功案例进行分析，及时总结，及时推广。</w:t>
      </w:r>
    </w:p>
    <w:p>
      <w:pPr>
        <w:pStyle w:val="4"/>
        <w:keepNext w:val="0"/>
        <w:keepLines w:val="0"/>
        <w:pageBreakBefore w:val="0"/>
        <w:kinsoku/>
        <w:wordWrap/>
        <w:overflowPunct/>
        <w:topLinePunct w:val="0"/>
        <w:autoSpaceDE w:val="0"/>
        <w:autoSpaceDN w:val="0"/>
        <w:bidi w:val="0"/>
        <w:spacing w:line="360" w:lineRule="auto"/>
        <w:ind w:left="0" w:right="0" w:firstLine="480" w:firstLineChars="200"/>
        <w:jc w:val="both"/>
        <w:textAlignment w:val="auto"/>
      </w:pPr>
      <w:r>
        <w:rPr>
          <w:rFonts w:hint="eastAsia"/>
        </w:rPr>
        <w:t>公司领导在年度战略讨论期间确立下年度公司层面的总体目标，各个部门根据目标进行分解，制定各自的行动计划。本年度的行动计划由总经理签署后实施。每月举办一次业务工作会议，对目标进度进行回顾和比较，由负责人汇报工作情况及下一阶段的工作实施计划。同时，高层领导积极引入先进的管理工具。</w:t>
      </w:r>
    </w:p>
    <w:p>
      <w:pPr>
        <w:pStyle w:val="4"/>
        <w:keepNext w:val="0"/>
        <w:keepLines w:val="0"/>
        <w:pageBreakBefore w:val="0"/>
        <w:kinsoku/>
        <w:wordWrap/>
        <w:overflowPunct/>
        <w:topLinePunct w:val="0"/>
        <w:autoSpaceDE w:val="0"/>
        <w:autoSpaceDN w:val="0"/>
        <w:bidi w:val="0"/>
        <w:spacing w:line="360" w:lineRule="auto"/>
        <w:ind w:left="0" w:right="0" w:firstLine="420" w:firstLineChars="200"/>
        <w:jc w:val="center"/>
        <w:textAlignment w:val="auto"/>
        <w:rPr>
          <w:sz w:val="21"/>
          <w:szCs w:val="21"/>
        </w:rPr>
      </w:pPr>
      <w:r>
        <w:rPr>
          <w:rFonts w:hint="eastAsia"/>
          <w:sz w:val="21"/>
          <w:szCs w:val="21"/>
        </w:rPr>
        <w:t>表</w:t>
      </w:r>
      <w:r>
        <w:rPr>
          <w:rFonts w:hint="eastAsia"/>
          <w:sz w:val="21"/>
          <w:szCs w:val="21"/>
          <w:lang w:val="en-US"/>
        </w:rPr>
        <w:t>2</w:t>
      </w:r>
      <w:r>
        <w:rPr>
          <w:rFonts w:hint="eastAsia"/>
          <w:sz w:val="21"/>
          <w:szCs w:val="21"/>
        </w:rPr>
        <w:t>.1-</w:t>
      </w:r>
      <w:r>
        <w:rPr>
          <w:sz w:val="21"/>
          <w:szCs w:val="21"/>
        </w:rPr>
        <w:fldChar w:fldCharType="begin"/>
      </w:r>
      <w:r>
        <w:rPr>
          <w:rFonts w:hint="eastAsia"/>
          <w:sz w:val="21"/>
          <w:szCs w:val="21"/>
        </w:rPr>
        <w:instrText xml:space="preserve">SEQ 图表4.1- \* ARABIC</w:instrText>
      </w:r>
      <w:r>
        <w:rPr>
          <w:sz w:val="21"/>
          <w:szCs w:val="21"/>
        </w:rPr>
        <w:fldChar w:fldCharType="separate"/>
      </w:r>
      <w:r>
        <w:rPr>
          <w:sz w:val="21"/>
          <w:szCs w:val="21"/>
        </w:rPr>
        <w:t>6</w:t>
      </w:r>
      <w:r>
        <w:rPr>
          <w:sz w:val="21"/>
          <w:szCs w:val="21"/>
        </w:rPr>
        <w:fldChar w:fldCharType="end"/>
      </w:r>
      <w:r>
        <w:rPr>
          <w:rFonts w:hint="eastAsia"/>
          <w:sz w:val="21"/>
          <w:szCs w:val="21"/>
        </w:rPr>
        <w:t xml:space="preserve"> 公司组织绩效评审方式示例</w:t>
      </w:r>
    </w:p>
    <w:tbl>
      <w:tblPr>
        <w:tblStyle w:val="10"/>
        <w:tblW w:w="896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56"/>
        <w:gridCol w:w="3210"/>
        <w:gridCol w:w="2755"/>
        <w:gridCol w:w="164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jc w:val="center"/>
        </w:trPr>
        <w:tc>
          <w:tcPr>
            <w:tcW w:w="1356" w:type="dxa"/>
            <w:tcBorders>
              <w:top w:val="single" w:color="auto" w:sz="4" w:space="0"/>
              <w:left w:val="single" w:color="auto" w:sz="4" w:space="0"/>
              <w:bottom w:val="single" w:color="auto" w:sz="4" w:space="0"/>
              <w:right w:val="single" w:color="auto" w:sz="4" w:space="0"/>
            </w:tcBorders>
            <w:shd w:val="clear" w:color="auto" w:fill="548DD4" w:themeFill="text2" w:themeFillTint="99"/>
            <w:vAlign w:val="center"/>
          </w:tcPr>
          <w:p>
            <w:pPr>
              <w:keepNext w:val="0"/>
              <w:keepLines w:val="0"/>
              <w:pageBreakBefore w:val="0"/>
              <w:kinsoku/>
              <w:wordWrap/>
              <w:overflowPunct/>
              <w:topLinePunct w:val="0"/>
              <w:autoSpaceDE w:val="0"/>
              <w:autoSpaceDN w:val="0"/>
              <w:bidi w:val="0"/>
              <w:adjustRightInd/>
              <w:snapToGrid/>
              <w:spacing w:line="240" w:lineRule="auto"/>
              <w:ind w:left="0" w:right="0" w:firstLine="0" w:firstLineChars="0"/>
              <w:jc w:val="center"/>
              <w:textAlignment w:val="auto"/>
              <w:rPr>
                <w:rFonts w:ascii="微软雅黑" w:hAnsi="微软雅黑" w:eastAsia="微软雅黑"/>
                <w:b/>
                <w:sz w:val="21"/>
                <w:szCs w:val="21"/>
              </w:rPr>
            </w:pPr>
            <w:r>
              <w:rPr>
                <w:rFonts w:hint="eastAsia" w:ascii="微软雅黑" w:hAnsi="微软雅黑" w:eastAsia="微软雅黑"/>
                <w:b/>
                <w:sz w:val="21"/>
                <w:szCs w:val="21"/>
              </w:rPr>
              <w:t>评价模块</w:t>
            </w:r>
          </w:p>
        </w:tc>
        <w:tc>
          <w:tcPr>
            <w:tcW w:w="3210" w:type="dxa"/>
            <w:tcBorders>
              <w:top w:val="single" w:color="auto" w:sz="4" w:space="0"/>
              <w:left w:val="single" w:color="auto" w:sz="4" w:space="0"/>
              <w:bottom w:val="single" w:color="auto" w:sz="4" w:space="0"/>
              <w:right w:val="single" w:color="auto" w:sz="4" w:space="0"/>
            </w:tcBorders>
            <w:shd w:val="clear" w:color="auto" w:fill="548DD4" w:themeFill="text2" w:themeFillTint="99"/>
            <w:vAlign w:val="center"/>
          </w:tcPr>
          <w:p>
            <w:pPr>
              <w:keepNext w:val="0"/>
              <w:keepLines w:val="0"/>
              <w:pageBreakBefore w:val="0"/>
              <w:kinsoku/>
              <w:wordWrap/>
              <w:overflowPunct/>
              <w:topLinePunct w:val="0"/>
              <w:autoSpaceDE w:val="0"/>
              <w:autoSpaceDN w:val="0"/>
              <w:bidi w:val="0"/>
              <w:adjustRightInd/>
              <w:snapToGrid/>
              <w:spacing w:line="240" w:lineRule="auto"/>
              <w:ind w:left="0" w:right="0" w:firstLine="0" w:firstLineChars="0"/>
              <w:jc w:val="center"/>
              <w:textAlignment w:val="auto"/>
              <w:rPr>
                <w:rFonts w:ascii="微软雅黑" w:hAnsi="微软雅黑" w:eastAsia="微软雅黑"/>
                <w:b/>
                <w:sz w:val="21"/>
                <w:szCs w:val="21"/>
              </w:rPr>
            </w:pPr>
            <w:r>
              <w:rPr>
                <w:rFonts w:hint="eastAsia" w:ascii="微软雅黑" w:hAnsi="微软雅黑" w:eastAsia="微软雅黑"/>
                <w:b/>
                <w:sz w:val="21"/>
                <w:szCs w:val="21"/>
              </w:rPr>
              <w:t>评价内容</w:t>
            </w:r>
          </w:p>
        </w:tc>
        <w:tc>
          <w:tcPr>
            <w:tcW w:w="2755" w:type="dxa"/>
            <w:tcBorders>
              <w:top w:val="single" w:color="auto" w:sz="4" w:space="0"/>
              <w:left w:val="single" w:color="auto" w:sz="4" w:space="0"/>
              <w:bottom w:val="single" w:color="auto" w:sz="4" w:space="0"/>
              <w:right w:val="single" w:color="auto" w:sz="4" w:space="0"/>
            </w:tcBorders>
            <w:shd w:val="clear" w:color="auto" w:fill="548DD4" w:themeFill="text2" w:themeFillTint="99"/>
            <w:vAlign w:val="center"/>
          </w:tcPr>
          <w:p>
            <w:pPr>
              <w:keepNext w:val="0"/>
              <w:keepLines w:val="0"/>
              <w:pageBreakBefore w:val="0"/>
              <w:kinsoku/>
              <w:wordWrap/>
              <w:overflowPunct/>
              <w:topLinePunct w:val="0"/>
              <w:autoSpaceDE w:val="0"/>
              <w:autoSpaceDN w:val="0"/>
              <w:bidi w:val="0"/>
              <w:adjustRightInd/>
              <w:snapToGrid/>
              <w:spacing w:line="240" w:lineRule="auto"/>
              <w:ind w:left="0" w:right="0" w:firstLine="0" w:firstLineChars="0"/>
              <w:jc w:val="center"/>
              <w:textAlignment w:val="auto"/>
              <w:rPr>
                <w:rFonts w:ascii="微软雅黑" w:hAnsi="微软雅黑" w:eastAsia="微软雅黑"/>
                <w:b/>
                <w:sz w:val="21"/>
                <w:szCs w:val="21"/>
              </w:rPr>
            </w:pPr>
            <w:r>
              <w:rPr>
                <w:rFonts w:hint="eastAsia" w:ascii="微软雅黑" w:hAnsi="微软雅黑" w:eastAsia="微软雅黑"/>
                <w:b/>
                <w:sz w:val="21"/>
                <w:szCs w:val="21"/>
              </w:rPr>
              <w:t>评价方法</w:t>
            </w:r>
          </w:p>
        </w:tc>
        <w:tc>
          <w:tcPr>
            <w:tcW w:w="1648" w:type="dxa"/>
            <w:tcBorders>
              <w:top w:val="single" w:color="auto" w:sz="4" w:space="0"/>
              <w:left w:val="single" w:color="auto" w:sz="4" w:space="0"/>
              <w:bottom w:val="single" w:color="auto" w:sz="4" w:space="0"/>
              <w:right w:val="single" w:color="auto" w:sz="4" w:space="0"/>
            </w:tcBorders>
            <w:shd w:val="clear" w:color="auto" w:fill="548DD4" w:themeFill="text2" w:themeFillTint="99"/>
            <w:vAlign w:val="center"/>
          </w:tcPr>
          <w:p>
            <w:pPr>
              <w:keepNext w:val="0"/>
              <w:keepLines w:val="0"/>
              <w:pageBreakBefore w:val="0"/>
              <w:kinsoku/>
              <w:wordWrap/>
              <w:overflowPunct/>
              <w:topLinePunct w:val="0"/>
              <w:autoSpaceDE w:val="0"/>
              <w:autoSpaceDN w:val="0"/>
              <w:bidi w:val="0"/>
              <w:adjustRightInd/>
              <w:snapToGrid/>
              <w:spacing w:line="240" w:lineRule="auto"/>
              <w:ind w:left="0" w:right="0" w:firstLine="0" w:firstLineChars="0"/>
              <w:jc w:val="center"/>
              <w:textAlignment w:val="auto"/>
              <w:rPr>
                <w:rFonts w:ascii="微软雅黑" w:hAnsi="微软雅黑" w:eastAsia="微软雅黑"/>
                <w:b/>
                <w:sz w:val="21"/>
                <w:szCs w:val="21"/>
              </w:rPr>
            </w:pPr>
            <w:r>
              <w:rPr>
                <w:rFonts w:hint="eastAsia" w:ascii="微软雅黑" w:hAnsi="微软雅黑" w:eastAsia="微软雅黑"/>
                <w:b/>
                <w:sz w:val="21"/>
                <w:szCs w:val="21"/>
              </w:rPr>
              <w:t>评价周期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56" w:type="dxa"/>
            <w:vMerge w:val="restart"/>
            <w:tcBorders>
              <w:top w:val="single" w:color="auto" w:sz="4" w:space="0"/>
              <w:left w:val="single" w:color="auto" w:sz="4" w:space="0"/>
              <w:bottom w:val="single" w:color="auto" w:sz="4" w:space="0"/>
              <w:right w:val="single" w:color="auto" w:sz="4" w:space="0"/>
            </w:tcBorders>
            <w:shd w:val="clear" w:color="auto" w:fill="F2F2F2"/>
            <w:vAlign w:val="center"/>
          </w:tcPr>
          <w:p>
            <w:pPr>
              <w:keepNext w:val="0"/>
              <w:keepLines w:val="0"/>
              <w:pageBreakBefore w:val="0"/>
              <w:kinsoku/>
              <w:wordWrap/>
              <w:overflowPunct/>
              <w:topLinePunct w:val="0"/>
              <w:autoSpaceDE w:val="0"/>
              <w:autoSpaceDN w:val="0"/>
              <w:bidi w:val="0"/>
              <w:adjustRightInd/>
              <w:snapToGrid/>
              <w:spacing w:line="240" w:lineRule="auto"/>
              <w:ind w:left="0" w:right="0" w:firstLine="0" w:firstLineChars="0"/>
              <w:jc w:val="center"/>
              <w:textAlignment w:val="auto"/>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长短期绩效目标达成情况</w:t>
            </w:r>
          </w:p>
        </w:tc>
        <w:tc>
          <w:tcPr>
            <w:tcW w:w="3210" w:type="dxa"/>
            <w:tcBorders>
              <w:top w:val="single" w:color="auto" w:sz="4" w:space="0"/>
              <w:left w:val="single" w:color="auto" w:sz="4" w:space="0"/>
              <w:bottom w:val="single" w:color="auto" w:sz="4" w:space="0"/>
              <w:right w:val="single" w:color="auto" w:sz="4" w:space="0"/>
            </w:tcBorders>
            <w:shd w:val="clear" w:color="auto" w:fill="F2F2F2"/>
            <w:vAlign w:val="center"/>
          </w:tcPr>
          <w:p>
            <w:pPr>
              <w:keepNext w:val="0"/>
              <w:keepLines w:val="0"/>
              <w:pageBreakBefore w:val="0"/>
              <w:kinsoku/>
              <w:wordWrap/>
              <w:overflowPunct/>
              <w:topLinePunct w:val="0"/>
              <w:autoSpaceDE w:val="0"/>
              <w:autoSpaceDN w:val="0"/>
              <w:bidi w:val="0"/>
              <w:adjustRightInd/>
              <w:snapToGrid/>
              <w:spacing w:line="240" w:lineRule="auto"/>
              <w:ind w:left="0" w:right="0" w:firstLine="0" w:firstLineChars="0"/>
              <w:jc w:val="both"/>
              <w:textAlignment w:val="auto"/>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关键绩效指标达成情况</w:t>
            </w:r>
          </w:p>
        </w:tc>
        <w:tc>
          <w:tcPr>
            <w:tcW w:w="2755" w:type="dxa"/>
            <w:tcBorders>
              <w:top w:val="single" w:color="auto" w:sz="4" w:space="0"/>
              <w:left w:val="single" w:color="auto" w:sz="4" w:space="0"/>
              <w:bottom w:val="single" w:color="auto" w:sz="4" w:space="0"/>
              <w:right w:val="single" w:color="auto" w:sz="4" w:space="0"/>
            </w:tcBorders>
            <w:shd w:val="clear" w:color="auto" w:fill="F2F2F2"/>
            <w:vAlign w:val="center"/>
          </w:tcPr>
          <w:p>
            <w:pPr>
              <w:keepNext w:val="0"/>
              <w:keepLines w:val="0"/>
              <w:pageBreakBefore w:val="0"/>
              <w:kinsoku/>
              <w:wordWrap/>
              <w:overflowPunct/>
              <w:topLinePunct w:val="0"/>
              <w:autoSpaceDE w:val="0"/>
              <w:autoSpaceDN w:val="0"/>
              <w:bidi w:val="0"/>
              <w:adjustRightInd/>
              <w:snapToGrid/>
              <w:spacing w:line="240" w:lineRule="auto"/>
              <w:ind w:left="0" w:right="0" w:firstLine="0" w:firstLineChars="0"/>
              <w:jc w:val="both"/>
              <w:textAlignment w:val="auto"/>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经营分析会议、总结会议等</w:t>
            </w:r>
          </w:p>
        </w:tc>
        <w:tc>
          <w:tcPr>
            <w:tcW w:w="1648" w:type="dxa"/>
            <w:tcBorders>
              <w:top w:val="single" w:color="auto" w:sz="4" w:space="0"/>
              <w:left w:val="single" w:color="auto" w:sz="4" w:space="0"/>
              <w:bottom w:val="single" w:color="auto" w:sz="4" w:space="0"/>
              <w:right w:val="single" w:color="auto" w:sz="4" w:space="0"/>
            </w:tcBorders>
            <w:shd w:val="clear" w:color="auto" w:fill="F2F2F2"/>
            <w:vAlign w:val="center"/>
          </w:tcPr>
          <w:p>
            <w:pPr>
              <w:keepNext w:val="0"/>
              <w:keepLines w:val="0"/>
              <w:pageBreakBefore w:val="0"/>
              <w:kinsoku/>
              <w:wordWrap/>
              <w:overflowPunct/>
              <w:topLinePunct w:val="0"/>
              <w:autoSpaceDE w:val="0"/>
              <w:autoSpaceDN w:val="0"/>
              <w:bidi w:val="0"/>
              <w:adjustRightInd/>
              <w:snapToGrid/>
              <w:spacing w:line="240" w:lineRule="auto"/>
              <w:ind w:left="0" w:right="0" w:firstLine="0" w:firstLineChars="0"/>
              <w:jc w:val="both"/>
              <w:textAlignment w:val="auto"/>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月度、季度、半年度、年度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56" w:type="dxa"/>
            <w:vMerge w:val="continue"/>
            <w:tcBorders>
              <w:top w:val="single" w:color="auto" w:sz="4" w:space="0"/>
              <w:left w:val="single" w:color="auto" w:sz="4" w:space="0"/>
              <w:bottom w:val="single" w:color="auto" w:sz="4" w:space="0"/>
              <w:right w:val="single" w:color="auto" w:sz="4" w:space="0"/>
            </w:tcBorders>
            <w:shd w:val="clear" w:color="auto" w:fill="F2F2F2"/>
            <w:vAlign w:val="center"/>
          </w:tcPr>
          <w:p>
            <w:pPr>
              <w:keepNext w:val="0"/>
              <w:keepLines w:val="0"/>
              <w:pageBreakBefore w:val="0"/>
              <w:widowControl/>
              <w:kinsoku/>
              <w:wordWrap/>
              <w:overflowPunct/>
              <w:topLinePunct w:val="0"/>
              <w:autoSpaceDE w:val="0"/>
              <w:autoSpaceDN w:val="0"/>
              <w:bidi w:val="0"/>
              <w:adjustRightInd/>
              <w:snapToGrid/>
              <w:spacing w:line="240" w:lineRule="auto"/>
              <w:ind w:left="0" w:right="0" w:firstLine="0" w:firstLineChars="0"/>
              <w:jc w:val="center"/>
              <w:textAlignment w:val="auto"/>
              <w:rPr>
                <w:rFonts w:asciiTheme="minorEastAsia" w:hAnsiTheme="minorEastAsia" w:eastAsiaTheme="minorEastAsia" w:cstheme="minorEastAsia"/>
                <w:sz w:val="21"/>
                <w:szCs w:val="21"/>
              </w:rPr>
            </w:pPr>
          </w:p>
        </w:tc>
        <w:tc>
          <w:tcPr>
            <w:tcW w:w="3210" w:type="dxa"/>
            <w:tcBorders>
              <w:top w:val="single" w:color="auto" w:sz="4" w:space="0"/>
              <w:left w:val="single" w:color="auto" w:sz="4" w:space="0"/>
              <w:bottom w:val="single" w:color="auto" w:sz="4" w:space="0"/>
              <w:right w:val="single" w:color="auto" w:sz="4" w:space="0"/>
            </w:tcBorders>
            <w:shd w:val="clear" w:color="auto" w:fill="F2F2F2"/>
            <w:vAlign w:val="center"/>
          </w:tcPr>
          <w:p>
            <w:pPr>
              <w:keepNext w:val="0"/>
              <w:keepLines w:val="0"/>
              <w:pageBreakBefore w:val="0"/>
              <w:kinsoku/>
              <w:wordWrap/>
              <w:overflowPunct/>
              <w:topLinePunct w:val="0"/>
              <w:autoSpaceDE w:val="0"/>
              <w:autoSpaceDN w:val="0"/>
              <w:bidi w:val="0"/>
              <w:adjustRightInd/>
              <w:snapToGrid/>
              <w:spacing w:line="240" w:lineRule="auto"/>
              <w:ind w:left="0" w:right="0" w:firstLine="0" w:firstLineChars="0"/>
              <w:jc w:val="both"/>
              <w:textAlignment w:val="auto"/>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战略实施情况、战略调整</w:t>
            </w:r>
          </w:p>
        </w:tc>
        <w:tc>
          <w:tcPr>
            <w:tcW w:w="2755" w:type="dxa"/>
            <w:tcBorders>
              <w:top w:val="single" w:color="auto" w:sz="4" w:space="0"/>
              <w:left w:val="single" w:color="auto" w:sz="4" w:space="0"/>
              <w:bottom w:val="single" w:color="auto" w:sz="4" w:space="0"/>
              <w:right w:val="single" w:color="auto" w:sz="4" w:space="0"/>
            </w:tcBorders>
            <w:shd w:val="clear" w:color="auto" w:fill="F2F2F2"/>
            <w:vAlign w:val="center"/>
          </w:tcPr>
          <w:p>
            <w:pPr>
              <w:keepNext w:val="0"/>
              <w:keepLines w:val="0"/>
              <w:pageBreakBefore w:val="0"/>
              <w:kinsoku/>
              <w:wordWrap/>
              <w:overflowPunct/>
              <w:topLinePunct w:val="0"/>
              <w:autoSpaceDE w:val="0"/>
              <w:autoSpaceDN w:val="0"/>
              <w:bidi w:val="0"/>
              <w:adjustRightInd/>
              <w:snapToGrid/>
              <w:spacing w:line="240" w:lineRule="auto"/>
              <w:ind w:left="0" w:right="0" w:firstLine="0" w:firstLineChars="0"/>
              <w:jc w:val="both"/>
              <w:textAlignment w:val="auto"/>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战略研讨会</w:t>
            </w:r>
          </w:p>
        </w:tc>
        <w:tc>
          <w:tcPr>
            <w:tcW w:w="1648" w:type="dxa"/>
            <w:tcBorders>
              <w:top w:val="single" w:color="auto" w:sz="4" w:space="0"/>
              <w:left w:val="single" w:color="auto" w:sz="4" w:space="0"/>
              <w:bottom w:val="single" w:color="auto" w:sz="4" w:space="0"/>
              <w:right w:val="single" w:color="auto" w:sz="4" w:space="0"/>
            </w:tcBorders>
            <w:shd w:val="clear" w:color="auto" w:fill="F2F2F2"/>
            <w:vAlign w:val="center"/>
          </w:tcPr>
          <w:p>
            <w:pPr>
              <w:keepNext w:val="0"/>
              <w:keepLines w:val="0"/>
              <w:pageBreakBefore w:val="0"/>
              <w:kinsoku/>
              <w:wordWrap/>
              <w:overflowPunct/>
              <w:topLinePunct w:val="0"/>
              <w:autoSpaceDE w:val="0"/>
              <w:autoSpaceDN w:val="0"/>
              <w:bidi w:val="0"/>
              <w:adjustRightInd/>
              <w:snapToGrid/>
              <w:spacing w:line="240" w:lineRule="auto"/>
              <w:ind w:left="0" w:right="0" w:firstLine="0" w:firstLineChars="0"/>
              <w:jc w:val="both"/>
              <w:textAlignment w:val="auto"/>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次/半年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56" w:type="dxa"/>
            <w:tcBorders>
              <w:top w:val="single" w:color="auto" w:sz="4" w:space="0"/>
              <w:left w:val="single" w:color="auto" w:sz="4" w:space="0"/>
              <w:bottom w:val="single" w:color="auto" w:sz="4" w:space="0"/>
              <w:right w:val="single" w:color="auto" w:sz="4" w:space="0"/>
            </w:tcBorders>
            <w:shd w:val="clear" w:color="auto" w:fill="F2F2F2"/>
            <w:vAlign w:val="center"/>
          </w:tcPr>
          <w:p>
            <w:pPr>
              <w:keepNext w:val="0"/>
              <w:keepLines w:val="0"/>
              <w:pageBreakBefore w:val="0"/>
              <w:kinsoku/>
              <w:wordWrap/>
              <w:overflowPunct/>
              <w:topLinePunct w:val="0"/>
              <w:autoSpaceDE w:val="0"/>
              <w:autoSpaceDN w:val="0"/>
              <w:bidi w:val="0"/>
              <w:adjustRightInd/>
              <w:snapToGrid/>
              <w:spacing w:line="240" w:lineRule="auto"/>
              <w:ind w:left="0" w:right="0" w:firstLine="0" w:firstLineChars="0"/>
              <w:jc w:val="center"/>
              <w:textAlignment w:val="auto"/>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竞争绩效</w:t>
            </w:r>
          </w:p>
        </w:tc>
        <w:tc>
          <w:tcPr>
            <w:tcW w:w="3210" w:type="dxa"/>
            <w:tcBorders>
              <w:top w:val="single" w:color="auto" w:sz="4" w:space="0"/>
              <w:left w:val="single" w:color="auto" w:sz="4" w:space="0"/>
              <w:bottom w:val="single" w:color="auto" w:sz="4" w:space="0"/>
              <w:right w:val="single" w:color="auto" w:sz="4" w:space="0"/>
            </w:tcBorders>
            <w:shd w:val="clear" w:color="auto" w:fill="F2F2F2"/>
            <w:vAlign w:val="center"/>
          </w:tcPr>
          <w:p>
            <w:pPr>
              <w:keepNext w:val="0"/>
              <w:keepLines w:val="0"/>
              <w:pageBreakBefore w:val="0"/>
              <w:kinsoku/>
              <w:wordWrap/>
              <w:overflowPunct/>
              <w:topLinePunct w:val="0"/>
              <w:autoSpaceDE w:val="0"/>
              <w:autoSpaceDN w:val="0"/>
              <w:bidi w:val="0"/>
              <w:adjustRightInd/>
              <w:snapToGrid/>
              <w:spacing w:line="240" w:lineRule="auto"/>
              <w:ind w:left="0" w:right="0" w:firstLine="0" w:firstLineChars="0"/>
              <w:jc w:val="both"/>
              <w:textAlignment w:val="auto"/>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主要指标与标杆和竞争对手对比</w:t>
            </w:r>
          </w:p>
        </w:tc>
        <w:tc>
          <w:tcPr>
            <w:tcW w:w="2755" w:type="dxa"/>
            <w:tcBorders>
              <w:top w:val="single" w:color="auto" w:sz="4" w:space="0"/>
              <w:left w:val="single" w:color="auto" w:sz="4" w:space="0"/>
              <w:bottom w:val="single" w:color="auto" w:sz="4" w:space="0"/>
              <w:right w:val="single" w:color="auto" w:sz="4" w:space="0"/>
            </w:tcBorders>
            <w:shd w:val="clear" w:color="auto" w:fill="F2F2F2"/>
            <w:vAlign w:val="center"/>
          </w:tcPr>
          <w:p>
            <w:pPr>
              <w:keepNext w:val="0"/>
              <w:keepLines w:val="0"/>
              <w:pageBreakBefore w:val="0"/>
              <w:kinsoku/>
              <w:wordWrap/>
              <w:overflowPunct/>
              <w:topLinePunct w:val="0"/>
              <w:autoSpaceDE w:val="0"/>
              <w:autoSpaceDN w:val="0"/>
              <w:bidi w:val="0"/>
              <w:adjustRightInd/>
              <w:snapToGrid/>
              <w:spacing w:line="240" w:lineRule="auto"/>
              <w:ind w:left="0" w:right="0" w:firstLine="0" w:firstLineChars="0"/>
              <w:jc w:val="both"/>
              <w:textAlignment w:val="auto"/>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对比分析等</w:t>
            </w:r>
          </w:p>
        </w:tc>
        <w:tc>
          <w:tcPr>
            <w:tcW w:w="1648" w:type="dxa"/>
            <w:tcBorders>
              <w:top w:val="single" w:color="auto" w:sz="4" w:space="0"/>
              <w:left w:val="single" w:color="auto" w:sz="4" w:space="0"/>
              <w:bottom w:val="single" w:color="auto" w:sz="4" w:space="0"/>
              <w:right w:val="single" w:color="auto" w:sz="4" w:space="0"/>
            </w:tcBorders>
            <w:shd w:val="clear" w:color="auto" w:fill="F2F2F2"/>
            <w:vAlign w:val="center"/>
          </w:tcPr>
          <w:p>
            <w:pPr>
              <w:keepNext w:val="0"/>
              <w:keepLines w:val="0"/>
              <w:pageBreakBefore w:val="0"/>
              <w:kinsoku/>
              <w:wordWrap/>
              <w:overflowPunct/>
              <w:topLinePunct w:val="0"/>
              <w:autoSpaceDE w:val="0"/>
              <w:autoSpaceDN w:val="0"/>
              <w:bidi w:val="0"/>
              <w:adjustRightInd/>
              <w:snapToGrid/>
              <w:spacing w:line="240" w:lineRule="auto"/>
              <w:ind w:left="0" w:right="0" w:firstLine="0" w:firstLineChars="0"/>
              <w:jc w:val="both"/>
              <w:textAlignment w:val="auto"/>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次/月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56" w:type="dxa"/>
            <w:vMerge w:val="restart"/>
            <w:tcBorders>
              <w:top w:val="single" w:color="auto" w:sz="4" w:space="0"/>
              <w:left w:val="single" w:color="auto" w:sz="4" w:space="0"/>
              <w:bottom w:val="single" w:color="auto" w:sz="4" w:space="0"/>
              <w:right w:val="single" w:color="auto" w:sz="4" w:space="0"/>
            </w:tcBorders>
            <w:shd w:val="clear" w:color="auto" w:fill="F2F2F2"/>
            <w:vAlign w:val="center"/>
          </w:tcPr>
          <w:p>
            <w:pPr>
              <w:keepNext w:val="0"/>
              <w:keepLines w:val="0"/>
              <w:pageBreakBefore w:val="0"/>
              <w:kinsoku/>
              <w:wordWrap/>
              <w:overflowPunct/>
              <w:topLinePunct w:val="0"/>
              <w:autoSpaceDE w:val="0"/>
              <w:autoSpaceDN w:val="0"/>
              <w:bidi w:val="0"/>
              <w:adjustRightInd/>
              <w:snapToGrid/>
              <w:spacing w:line="240" w:lineRule="auto"/>
              <w:ind w:left="0" w:right="0" w:firstLine="0" w:firstLineChars="0"/>
              <w:jc w:val="center"/>
              <w:textAlignment w:val="auto"/>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体系管理有效性</w:t>
            </w:r>
          </w:p>
        </w:tc>
        <w:tc>
          <w:tcPr>
            <w:tcW w:w="3210" w:type="dxa"/>
            <w:tcBorders>
              <w:top w:val="single" w:color="auto" w:sz="4" w:space="0"/>
              <w:left w:val="single" w:color="auto" w:sz="4" w:space="0"/>
              <w:bottom w:val="single" w:color="auto" w:sz="4" w:space="0"/>
              <w:right w:val="single" w:color="auto" w:sz="4" w:space="0"/>
            </w:tcBorders>
            <w:shd w:val="clear" w:color="auto" w:fill="F2F2F2"/>
            <w:vAlign w:val="center"/>
          </w:tcPr>
          <w:p>
            <w:pPr>
              <w:keepNext w:val="0"/>
              <w:keepLines w:val="0"/>
              <w:pageBreakBefore w:val="0"/>
              <w:kinsoku/>
              <w:wordWrap/>
              <w:overflowPunct/>
              <w:topLinePunct w:val="0"/>
              <w:autoSpaceDE w:val="0"/>
              <w:autoSpaceDN w:val="0"/>
              <w:bidi w:val="0"/>
              <w:adjustRightInd/>
              <w:snapToGrid/>
              <w:spacing w:line="240" w:lineRule="auto"/>
              <w:ind w:left="0" w:right="0" w:firstLine="0" w:firstLineChars="0"/>
              <w:jc w:val="both"/>
              <w:textAlignment w:val="auto"/>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各项管理体系运行情况</w:t>
            </w:r>
          </w:p>
        </w:tc>
        <w:tc>
          <w:tcPr>
            <w:tcW w:w="2755" w:type="dxa"/>
            <w:tcBorders>
              <w:top w:val="single" w:color="auto" w:sz="4" w:space="0"/>
              <w:left w:val="single" w:color="auto" w:sz="4" w:space="0"/>
              <w:bottom w:val="single" w:color="auto" w:sz="4" w:space="0"/>
              <w:right w:val="single" w:color="auto" w:sz="4" w:space="0"/>
            </w:tcBorders>
            <w:shd w:val="clear" w:color="auto" w:fill="F2F2F2"/>
            <w:vAlign w:val="center"/>
          </w:tcPr>
          <w:p>
            <w:pPr>
              <w:keepNext w:val="0"/>
              <w:keepLines w:val="0"/>
              <w:pageBreakBefore w:val="0"/>
              <w:kinsoku/>
              <w:wordWrap/>
              <w:overflowPunct/>
              <w:topLinePunct w:val="0"/>
              <w:autoSpaceDE w:val="0"/>
              <w:autoSpaceDN w:val="0"/>
              <w:bidi w:val="0"/>
              <w:adjustRightInd/>
              <w:snapToGrid/>
              <w:spacing w:line="240" w:lineRule="auto"/>
              <w:ind w:left="0" w:right="0" w:firstLine="0" w:firstLineChars="0"/>
              <w:jc w:val="both"/>
              <w:textAlignment w:val="auto"/>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运营部等部门内部审核</w:t>
            </w:r>
          </w:p>
        </w:tc>
        <w:tc>
          <w:tcPr>
            <w:tcW w:w="1648" w:type="dxa"/>
            <w:tcBorders>
              <w:top w:val="single" w:color="auto" w:sz="4" w:space="0"/>
              <w:left w:val="single" w:color="auto" w:sz="4" w:space="0"/>
              <w:bottom w:val="single" w:color="auto" w:sz="4" w:space="0"/>
              <w:right w:val="single" w:color="auto" w:sz="4" w:space="0"/>
            </w:tcBorders>
            <w:shd w:val="clear" w:color="auto" w:fill="F2F2F2"/>
            <w:vAlign w:val="center"/>
          </w:tcPr>
          <w:p>
            <w:pPr>
              <w:keepNext w:val="0"/>
              <w:keepLines w:val="0"/>
              <w:pageBreakBefore w:val="0"/>
              <w:kinsoku/>
              <w:wordWrap/>
              <w:overflowPunct/>
              <w:topLinePunct w:val="0"/>
              <w:autoSpaceDE w:val="0"/>
              <w:autoSpaceDN w:val="0"/>
              <w:bidi w:val="0"/>
              <w:adjustRightInd/>
              <w:snapToGrid/>
              <w:spacing w:line="240" w:lineRule="auto"/>
              <w:ind w:left="0" w:right="0" w:firstLine="0" w:firstLineChars="0"/>
              <w:jc w:val="both"/>
              <w:textAlignment w:val="auto"/>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次/半年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56" w:type="dxa"/>
            <w:vMerge w:val="continue"/>
            <w:tcBorders>
              <w:top w:val="single" w:color="auto" w:sz="4" w:space="0"/>
              <w:left w:val="single" w:color="auto" w:sz="4" w:space="0"/>
              <w:bottom w:val="single" w:color="auto" w:sz="4" w:space="0"/>
              <w:right w:val="single" w:color="auto" w:sz="4" w:space="0"/>
            </w:tcBorders>
            <w:shd w:val="clear" w:color="auto" w:fill="F2F2F2"/>
            <w:vAlign w:val="center"/>
          </w:tcPr>
          <w:p>
            <w:pPr>
              <w:keepNext w:val="0"/>
              <w:keepLines w:val="0"/>
              <w:pageBreakBefore w:val="0"/>
              <w:widowControl/>
              <w:kinsoku/>
              <w:wordWrap/>
              <w:overflowPunct/>
              <w:topLinePunct w:val="0"/>
              <w:autoSpaceDE w:val="0"/>
              <w:autoSpaceDN w:val="0"/>
              <w:bidi w:val="0"/>
              <w:adjustRightInd/>
              <w:snapToGrid/>
              <w:spacing w:line="240" w:lineRule="auto"/>
              <w:ind w:left="0" w:right="0" w:firstLine="0" w:firstLineChars="0"/>
              <w:jc w:val="center"/>
              <w:textAlignment w:val="auto"/>
              <w:rPr>
                <w:rFonts w:asciiTheme="minorEastAsia" w:hAnsiTheme="minorEastAsia" w:eastAsiaTheme="minorEastAsia" w:cstheme="minorEastAsia"/>
                <w:sz w:val="21"/>
                <w:szCs w:val="21"/>
              </w:rPr>
            </w:pPr>
          </w:p>
        </w:tc>
        <w:tc>
          <w:tcPr>
            <w:tcW w:w="3210" w:type="dxa"/>
            <w:tcBorders>
              <w:top w:val="single" w:color="auto" w:sz="4" w:space="0"/>
              <w:left w:val="single" w:color="auto" w:sz="4" w:space="0"/>
              <w:bottom w:val="single" w:color="auto" w:sz="4" w:space="0"/>
              <w:right w:val="single" w:color="auto" w:sz="4" w:space="0"/>
            </w:tcBorders>
            <w:shd w:val="clear" w:color="auto" w:fill="F2F2F2"/>
            <w:vAlign w:val="center"/>
          </w:tcPr>
          <w:p>
            <w:pPr>
              <w:keepNext w:val="0"/>
              <w:keepLines w:val="0"/>
              <w:pageBreakBefore w:val="0"/>
              <w:kinsoku/>
              <w:wordWrap/>
              <w:overflowPunct/>
              <w:topLinePunct w:val="0"/>
              <w:autoSpaceDE w:val="0"/>
              <w:autoSpaceDN w:val="0"/>
              <w:bidi w:val="0"/>
              <w:adjustRightInd/>
              <w:snapToGrid/>
              <w:spacing w:line="240" w:lineRule="auto"/>
              <w:ind w:left="0" w:right="0" w:firstLine="0" w:firstLineChars="0"/>
              <w:jc w:val="both"/>
              <w:textAlignment w:val="auto"/>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生产、消防安全及职业健康工作落实情况</w:t>
            </w:r>
          </w:p>
        </w:tc>
        <w:tc>
          <w:tcPr>
            <w:tcW w:w="2755" w:type="dxa"/>
            <w:tcBorders>
              <w:top w:val="single" w:color="auto" w:sz="4" w:space="0"/>
              <w:left w:val="single" w:color="auto" w:sz="4" w:space="0"/>
              <w:bottom w:val="single" w:color="auto" w:sz="4" w:space="0"/>
              <w:right w:val="single" w:color="auto" w:sz="4" w:space="0"/>
            </w:tcBorders>
            <w:shd w:val="clear" w:color="auto" w:fill="F2F2F2"/>
            <w:vAlign w:val="center"/>
          </w:tcPr>
          <w:p>
            <w:pPr>
              <w:keepNext w:val="0"/>
              <w:keepLines w:val="0"/>
              <w:pageBreakBefore w:val="0"/>
              <w:kinsoku/>
              <w:wordWrap/>
              <w:overflowPunct/>
              <w:topLinePunct w:val="0"/>
              <w:autoSpaceDE w:val="0"/>
              <w:autoSpaceDN w:val="0"/>
              <w:bidi w:val="0"/>
              <w:adjustRightInd/>
              <w:snapToGrid/>
              <w:spacing w:line="240" w:lineRule="auto"/>
              <w:ind w:left="0" w:right="0" w:firstLine="0" w:firstLineChars="0"/>
              <w:jc w:val="both"/>
              <w:textAlignment w:val="auto"/>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lang w:eastAsia="zh-CN"/>
              </w:rPr>
              <w:t>综合部</w:t>
            </w:r>
            <w:r>
              <w:rPr>
                <w:rFonts w:hint="eastAsia" w:asciiTheme="minorEastAsia" w:hAnsiTheme="minorEastAsia" w:eastAsiaTheme="minorEastAsia" w:cstheme="minorEastAsia"/>
                <w:sz w:val="21"/>
                <w:szCs w:val="21"/>
              </w:rPr>
              <w:t>、生产部等相关部门进行评审</w:t>
            </w:r>
          </w:p>
        </w:tc>
        <w:tc>
          <w:tcPr>
            <w:tcW w:w="1648" w:type="dxa"/>
            <w:tcBorders>
              <w:top w:val="single" w:color="auto" w:sz="4" w:space="0"/>
              <w:left w:val="single" w:color="auto" w:sz="4" w:space="0"/>
              <w:bottom w:val="single" w:color="auto" w:sz="4" w:space="0"/>
              <w:right w:val="single" w:color="auto" w:sz="4" w:space="0"/>
            </w:tcBorders>
            <w:shd w:val="clear" w:color="auto" w:fill="F2F2F2"/>
            <w:vAlign w:val="center"/>
          </w:tcPr>
          <w:p>
            <w:pPr>
              <w:keepNext w:val="0"/>
              <w:keepLines w:val="0"/>
              <w:pageBreakBefore w:val="0"/>
              <w:kinsoku/>
              <w:wordWrap/>
              <w:overflowPunct/>
              <w:topLinePunct w:val="0"/>
              <w:autoSpaceDE w:val="0"/>
              <w:autoSpaceDN w:val="0"/>
              <w:bidi w:val="0"/>
              <w:adjustRightInd/>
              <w:snapToGrid/>
              <w:spacing w:line="240" w:lineRule="auto"/>
              <w:ind w:left="0" w:right="0" w:firstLine="0" w:firstLineChars="0"/>
              <w:jc w:val="both"/>
              <w:textAlignment w:val="auto"/>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次/月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56" w:type="dxa"/>
            <w:tcBorders>
              <w:top w:val="single" w:color="auto" w:sz="4" w:space="0"/>
              <w:left w:val="single" w:color="auto" w:sz="4" w:space="0"/>
              <w:bottom w:val="single" w:color="auto" w:sz="4" w:space="0"/>
              <w:right w:val="single" w:color="auto" w:sz="4" w:space="0"/>
            </w:tcBorders>
            <w:shd w:val="clear" w:color="auto" w:fill="F2F2F2"/>
            <w:vAlign w:val="center"/>
          </w:tcPr>
          <w:p>
            <w:pPr>
              <w:keepNext w:val="0"/>
              <w:keepLines w:val="0"/>
              <w:pageBreakBefore w:val="0"/>
              <w:kinsoku/>
              <w:wordWrap/>
              <w:overflowPunct/>
              <w:topLinePunct w:val="0"/>
              <w:autoSpaceDE w:val="0"/>
              <w:autoSpaceDN w:val="0"/>
              <w:bidi w:val="0"/>
              <w:adjustRightInd/>
              <w:snapToGrid/>
              <w:spacing w:line="240" w:lineRule="auto"/>
              <w:ind w:left="0" w:right="0" w:firstLine="0" w:firstLineChars="0"/>
              <w:jc w:val="center"/>
              <w:textAlignment w:val="auto"/>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社会责任</w:t>
            </w:r>
          </w:p>
        </w:tc>
        <w:tc>
          <w:tcPr>
            <w:tcW w:w="3210" w:type="dxa"/>
            <w:tcBorders>
              <w:top w:val="single" w:color="auto" w:sz="4" w:space="0"/>
              <w:left w:val="single" w:color="auto" w:sz="4" w:space="0"/>
              <w:bottom w:val="single" w:color="auto" w:sz="4" w:space="0"/>
              <w:right w:val="single" w:color="auto" w:sz="4" w:space="0"/>
            </w:tcBorders>
            <w:shd w:val="clear" w:color="auto" w:fill="F2F2F2"/>
            <w:vAlign w:val="center"/>
          </w:tcPr>
          <w:p>
            <w:pPr>
              <w:keepNext w:val="0"/>
              <w:keepLines w:val="0"/>
              <w:pageBreakBefore w:val="0"/>
              <w:kinsoku/>
              <w:wordWrap/>
              <w:overflowPunct/>
              <w:topLinePunct w:val="0"/>
              <w:autoSpaceDE w:val="0"/>
              <w:autoSpaceDN w:val="0"/>
              <w:bidi w:val="0"/>
              <w:adjustRightInd/>
              <w:snapToGrid/>
              <w:spacing w:line="240" w:lineRule="auto"/>
              <w:ind w:left="0" w:right="0" w:firstLine="0" w:firstLineChars="0"/>
              <w:jc w:val="both"/>
              <w:textAlignment w:val="auto"/>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公益支持、相关方利益的保护等</w:t>
            </w:r>
          </w:p>
        </w:tc>
        <w:tc>
          <w:tcPr>
            <w:tcW w:w="2755" w:type="dxa"/>
            <w:tcBorders>
              <w:top w:val="single" w:color="auto" w:sz="4" w:space="0"/>
              <w:left w:val="single" w:color="auto" w:sz="4" w:space="0"/>
              <w:bottom w:val="single" w:color="auto" w:sz="4" w:space="0"/>
              <w:right w:val="single" w:color="auto" w:sz="4" w:space="0"/>
            </w:tcBorders>
            <w:shd w:val="clear" w:color="auto" w:fill="F2F2F2"/>
            <w:vAlign w:val="center"/>
          </w:tcPr>
          <w:p>
            <w:pPr>
              <w:keepNext w:val="0"/>
              <w:keepLines w:val="0"/>
              <w:pageBreakBefore w:val="0"/>
              <w:kinsoku/>
              <w:wordWrap/>
              <w:overflowPunct/>
              <w:topLinePunct w:val="0"/>
              <w:autoSpaceDE w:val="0"/>
              <w:autoSpaceDN w:val="0"/>
              <w:bidi w:val="0"/>
              <w:adjustRightInd/>
              <w:snapToGrid/>
              <w:spacing w:line="240" w:lineRule="auto"/>
              <w:ind w:left="0" w:right="0" w:firstLine="0" w:firstLineChars="0"/>
              <w:jc w:val="both"/>
              <w:textAlignment w:val="auto"/>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各相关方信息反馈、公益支持计划完成情况等</w:t>
            </w:r>
          </w:p>
        </w:tc>
        <w:tc>
          <w:tcPr>
            <w:tcW w:w="1648" w:type="dxa"/>
            <w:tcBorders>
              <w:top w:val="single" w:color="auto" w:sz="4" w:space="0"/>
              <w:left w:val="single" w:color="auto" w:sz="4" w:space="0"/>
              <w:bottom w:val="single" w:color="auto" w:sz="4" w:space="0"/>
              <w:right w:val="single" w:color="auto" w:sz="4" w:space="0"/>
            </w:tcBorders>
            <w:shd w:val="clear" w:color="auto" w:fill="F2F2F2"/>
            <w:vAlign w:val="center"/>
          </w:tcPr>
          <w:p>
            <w:pPr>
              <w:keepNext w:val="0"/>
              <w:keepLines w:val="0"/>
              <w:pageBreakBefore w:val="0"/>
              <w:kinsoku/>
              <w:wordWrap/>
              <w:overflowPunct/>
              <w:topLinePunct w:val="0"/>
              <w:autoSpaceDE w:val="0"/>
              <w:autoSpaceDN w:val="0"/>
              <w:bidi w:val="0"/>
              <w:adjustRightInd/>
              <w:snapToGrid/>
              <w:spacing w:line="240" w:lineRule="auto"/>
              <w:ind w:left="0" w:right="0" w:firstLine="0" w:firstLineChars="0"/>
              <w:jc w:val="both"/>
              <w:textAlignment w:val="auto"/>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年度</w:t>
            </w:r>
          </w:p>
        </w:tc>
      </w:tr>
    </w:tbl>
    <w:p>
      <w:pPr>
        <w:pStyle w:val="4"/>
        <w:keepNext w:val="0"/>
        <w:keepLines w:val="0"/>
        <w:pageBreakBefore w:val="0"/>
        <w:kinsoku/>
        <w:wordWrap/>
        <w:overflowPunct/>
        <w:topLinePunct w:val="0"/>
        <w:autoSpaceDE w:val="0"/>
        <w:autoSpaceDN w:val="0"/>
        <w:bidi w:val="0"/>
        <w:spacing w:line="360" w:lineRule="auto"/>
        <w:ind w:left="0" w:right="0" w:firstLine="480" w:firstLineChars="200"/>
        <w:jc w:val="both"/>
        <w:textAlignment w:val="auto"/>
      </w:pPr>
      <w:r>
        <w:rPr>
          <w:rFonts w:hint="eastAsia"/>
        </w:rPr>
        <w:t>2）确定和落实改进关键业务的优先次序，识别改进与创新机会</w:t>
      </w:r>
    </w:p>
    <w:p>
      <w:pPr>
        <w:pStyle w:val="4"/>
        <w:keepNext w:val="0"/>
        <w:keepLines w:val="0"/>
        <w:pageBreakBefore w:val="0"/>
        <w:kinsoku/>
        <w:wordWrap/>
        <w:overflowPunct/>
        <w:topLinePunct w:val="0"/>
        <w:autoSpaceDE w:val="0"/>
        <w:autoSpaceDN w:val="0"/>
        <w:bidi w:val="0"/>
        <w:spacing w:line="360" w:lineRule="auto"/>
        <w:ind w:left="0" w:right="0" w:firstLine="480" w:firstLineChars="200"/>
        <w:jc w:val="both"/>
        <w:textAlignment w:val="auto"/>
      </w:pPr>
      <w:r>
        <w:rPr>
          <w:rFonts w:hint="eastAsia"/>
        </w:rPr>
        <w:t>高层领导通过战略研讨会、管理评审会、定期的经营分析会等方式评价公司的关键绩效指标，以识别改进和创新的重点。根据绩效评审结果，按照与公司使命、愿景、目标、顾客满意度等相关性大小，确定改进问题，明确改进优先次序并识别创新机会，通过“立项”方式，明确责任部门和责任人，对改进计划采取重责考评限期改进等办法推进落实。一方面做好内部策划实施，另一方面及时沟通合作伙伴，以便步调一致，协同创新。</w:t>
      </w:r>
    </w:p>
    <w:p>
      <w:pPr>
        <w:pStyle w:val="3"/>
        <w:keepNext w:val="0"/>
        <w:keepLines w:val="0"/>
        <w:pageBreakBefore w:val="0"/>
        <w:numPr>
          <w:ilvl w:val="0"/>
          <w:numId w:val="3"/>
        </w:numPr>
        <w:kinsoku/>
        <w:wordWrap/>
        <w:overflowPunct/>
        <w:topLinePunct w:val="0"/>
        <w:autoSpaceDE w:val="0"/>
        <w:autoSpaceDN w:val="0"/>
        <w:bidi w:val="0"/>
        <w:spacing w:line="360" w:lineRule="auto"/>
        <w:ind w:left="0" w:right="0" w:firstLine="562" w:firstLineChars="200"/>
        <w:jc w:val="both"/>
        <w:textAlignment w:val="auto"/>
        <w:rPr>
          <w:b/>
          <w:bCs/>
        </w:rPr>
      </w:pPr>
      <w:bookmarkStart w:id="6" w:name="三、守法合规"/>
      <w:bookmarkEnd w:id="6"/>
      <w:bookmarkStart w:id="7" w:name="_Toc24531707"/>
      <w:r>
        <w:rPr>
          <w:b/>
          <w:bCs/>
        </w:rPr>
        <w:t>守法合规</w:t>
      </w:r>
      <w:bookmarkEnd w:id="7"/>
    </w:p>
    <w:p>
      <w:pPr>
        <w:widowControl w:val="0"/>
        <w:numPr>
          <w:ilvl w:val="0"/>
          <w:numId w:val="0"/>
        </w:numPr>
        <w:autoSpaceDE w:val="0"/>
        <w:autoSpaceDN w:val="0"/>
      </w:pPr>
    </w:p>
    <w:p>
      <w:pPr>
        <w:pStyle w:val="4"/>
        <w:keepNext w:val="0"/>
        <w:keepLines w:val="0"/>
        <w:pageBreakBefore w:val="0"/>
        <w:kinsoku/>
        <w:wordWrap/>
        <w:overflowPunct/>
        <w:topLinePunct w:val="0"/>
        <w:autoSpaceDE w:val="0"/>
        <w:autoSpaceDN w:val="0"/>
        <w:bidi w:val="0"/>
        <w:spacing w:line="360" w:lineRule="auto"/>
        <w:ind w:left="0" w:right="0" w:firstLine="452" w:firstLineChars="200"/>
        <w:jc w:val="both"/>
        <w:textAlignment w:val="auto"/>
      </w:pPr>
      <w:r>
        <w:rPr>
          <w:spacing w:val="-7"/>
        </w:rPr>
        <w:t>公司遵守商业道德和法律规定，建立了完备的合规体系。</w:t>
      </w:r>
      <w:r>
        <w:rPr>
          <w:rFonts w:hint="eastAsia"/>
          <w:spacing w:val="-7"/>
          <w:lang w:eastAsia="zh-CN"/>
        </w:rPr>
        <w:t>南腾</w:t>
      </w:r>
      <w:r>
        <w:rPr>
          <w:spacing w:val="-7"/>
        </w:rPr>
        <w:t>合规体系包</w:t>
      </w:r>
      <w:r>
        <w:rPr>
          <w:spacing w:val="-21"/>
        </w:rPr>
        <w:t>括内部合规制度、内部合规通报体系、内部监督制度和惩戒制度，重点关注环境、</w:t>
      </w:r>
      <w:r>
        <w:t>商业伦理、产品质量和供应链领域。</w:t>
      </w:r>
    </w:p>
    <w:p>
      <w:pPr>
        <w:pStyle w:val="4"/>
        <w:keepNext w:val="0"/>
        <w:keepLines w:val="0"/>
        <w:pageBreakBefore w:val="0"/>
        <w:kinsoku/>
        <w:wordWrap/>
        <w:overflowPunct/>
        <w:topLinePunct w:val="0"/>
        <w:autoSpaceDE w:val="0"/>
        <w:autoSpaceDN w:val="0"/>
        <w:bidi w:val="0"/>
        <w:spacing w:line="360" w:lineRule="auto"/>
        <w:ind w:left="0" w:right="0" w:firstLine="448" w:firstLineChars="200"/>
        <w:jc w:val="both"/>
        <w:textAlignment w:val="auto"/>
      </w:pPr>
      <w:r>
        <w:rPr>
          <w:spacing w:val="-8"/>
        </w:rPr>
        <w:t>公司员工遵循诚实守信、平等公正、符合法规、不谋私利、利益回避和信息</w:t>
      </w:r>
      <w:r>
        <w:rPr>
          <w:spacing w:val="-10"/>
        </w:rPr>
        <w:t>保密等基本准则。对待同事平等尊重；对待客户以提供高品质的产品和服务为己任；对待供应商诚信公正寻求双赢。此外，公司设立了招标办公室，还要求员工</w:t>
      </w:r>
      <w:r>
        <w:rPr>
          <w:spacing w:val="-7"/>
        </w:rPr>
        <w:t>在与政府等部门交易时必须要做到诚实、准确，严禁以公司或个人的名义向任何</w:t>
      </w:r>
      <w:r>
        <w:t>政府官员、党派等提供或许诺提供资金或财物以试图影响其决定。</w:t>
      </w:r>
    </w:p>
    <w:p>
      <w:pPr>
        <w:pStyle w:val="4"/>
        <w:keepNext w:val="0"/>
        <w:keepLines w:val="0"/>
        <w:pageBreakBefore w:val="0"/>
        <w:kinsoku/>
        <w:wordWrap/>
        <w:overflowPunct/>
        <w:topLinePunct w:val="0"/>
        <w:autoSpaceDE w:val="0"/>
        <w:autoSpaceDN w:val="0"/>
        <w:bidi w:val="0"/>
        <w:spacing w:line="360" w:lineRule="auto"/>
        <w:ind w:left="0" w:right="0" w:firstLine="480" w:firstLineChars="200"/>
        <w:jc w:val="both"/>
        <w:textAlignment w:val="auto"/>
      </w:pPr>
    </w:p>
    <w:p>
      <w:pPr>
        <w:pStyle w:val="3"/>
        <w:keepNext w:val="0"/>
        <w:keepLines w:val="0"/>
        <w:pageBreakBefore w:val="0"/>
        <w:kinsoku/>
        <w:wordWrap/>
        <w:overflowPunct/>
        <w:topLinePunct w:val="0"/>
        <w:autoSpaceDE w:val="0"/>
        <w:autoSpaceDN w:val="0"/>
        <w:bidi w:val="0"/>
        <w:spacing w:line="360" w:lineRule="auto"/>
        <w:ind w:left="0" w:right="0" w:firstLine="562" w:firstLineChars="200"/>
        <w:jc w:val="both"/>
        <w:textAlignment w:val="auto"/>
        <w:rPr>
          <w:b/>
          <w:bCs/>
        </w:rPr>
      </w:pPr>
      <w:bookmarkStart w:id="8" w:name="五、服务客户"/>
      <w:bookmarkEnd w:id="8"/>
      <w:bookmarkStart w:id="9" w:name="四、回报股东"/>
      <w:bookmarkEnd w:id="9"/>
      <w:bookmarkStart w:id="10" w:name="_Toc24531709"/>
      <w:r>
        <w:rPr>
          <w:rFonts w:hint="eastAsia"/>
          <w:b/>
          <w:bCs/>
          <w:lang w:val="en-US" w:eastAsia="zh-CN"/>
        </w:rPr>
        <w:t>四</w:t>
      </w:r>
      <w:r>
        <w:rPr>
          <w:b/>
          <w:bCs/>
        </w:rPr>
        <w:t>、服务客户</w:t>
      </w:r>
      <w:bookmarkEnd w:id="10"/>
    </w:p>
    <w:p>
      <w:pPr>
        <w:pStyle w:val="4"/>
        <w:keepNext w:val="0"/>
        <w:keepLines w:val="0"/>
        <w:pageBreakBefore w:val="0"/>
        <w:kinsoku/>
        <w:wordWrap/>
        <w:overflowPunct/>
        <w:topLinePunct w:val="0"/>
        <w:autoSpaceDE w:val="0"/>
        <w:autoSpaceDN w:val="0"/>
        <w:bidi w:val="0"/>
        <w:spacing w:line="360" w:lineRule="auto"/>
        <w:ind w:left="0" w:right="0" w:firstLine="440" w:firstLineChars="200"/>
        <w:jc w:val="both"/>
        <w:textAlignment w:val="auto"/>
        <w:rPr>
          <w:sz w:val="22"/>
        </w:rPr>
      </w:pPr>
    </w:p>
    <w:p>
      <w:pPr>
        <w:pStyle w:val="4"/>
        <w:keepNext w:val="0"/>
        <w:keepLines w:val="0"/>
        <w:pageBreakBefore w:val="0"/>
        <w:kinsoku/>
        <w:wordWrap/>
        <w:overflowPunct/>
        <w:topLinePunct w:val="0"/>
        <w:autoSpaceDE w:val="0"/>
        <w:autoSpaceDN w:val="0"/>
        <w:bidi w:val="0"/>
        <w:spacing w:line="360" w:lineRule="auto"/>
        <w:ind w:left="0" w:right="0" w:firstLine="480" w:firstLineChars="200"/>
        <w:jc w:val="both"/>
        <w:textAlignment w:val="auto"/>
      </w:pPr>
      <w:r>
        <w:t>很多客户对企业的评价当中相当多的原因不是由于产品质量服务等实质性</w:t>
      </w:r>
      <w:r>
        <w:rPr>
          <w:spacing w:val="-10"/>
        </w:rPr>
        <w:t>问题，而是企业与客户之间的沟通不够。因此，与客户保持沟通、特别是高层的</w:t>
      </w:r>
      <w:r>
        <w:rPr>
          <w:spacing w:val="-9"/>
        </w:rPr>
        <w:t>沟通渠道畅通是非常重要的，只有产品质量与服务质量双重保障才能获得客户的最终满意和认可。</w:t>
      </w:r>
      <w:r>
        <w:rPr>
          <w:rFonts w:hint="eastAsia"/>
          <w:spacing w:val="-9"/>
          <w:lang w:eastAsia="zh-CN"/>
        </w:rPr>
        <w:t>南腾</w:t>
      </w:r>
      <w:r>
        <w:rPr>
          <w:spacing w:val="-9"/>
        </w:rPr>
        <w:t>以机构改革为契机，从传统的产品制造商向现代化</w:t>
      </w:r>
      <w:r>
        <w:rPr>
          <w:rFonts w:hint="eastAsia"/>
          <w:spacing w:val="-8"/>
        </w:rPr>
        <w:t>生产</w:t>
      </w:r>
      <w:r>
        <w:rPr>
          <w:spacing w:val="-8"/>
        </w:rPr>
        <w:t>服务商转型，建立以市场为中心、以客户需求为重点的服务理念。机构改革</w:t>
      </w:r>
      <w:r>
        <w:rPr>
          <w:spacing w:val="-21"/>
        </w:rPr>
        <w:t>后，</w:t>
      </w:r>
      <w:r>
        <w:rPr>
          <w:rFonts w:hint="eastAsia"/>
          <w:spacing w:val="-21"/>
          <w:lang w:val="en-US" w:eastAsia="zh-CN"/>
        </w:rPr>
        <w:t>市场部</w:t>
      </w:r>
      <w:r>
        <w:rPr>
          <w:spacing w:val="-21"/>
        </w:rPr>
        <w:t xml:space="preserve">各自针对客户开展服务工作，不断优化服务流程，提升服务理念， </w:t>
      </w:r>
      <w:r>
        <w:rPr>
          <w:spacing w:val="-10"/>
        </w:rPr>
        <w:t>强化服务质量，急客户之所急，想客户之所想，在初期的工作中得到了客户的充</w:t>
      </w:r>
      <w:r>
        <w:t>分肯定。</w:t>
      </w:r>
    </w:p>
    <w:p>
      <w:pPr>
        <w:pStyle w:val="4"/>
        <w:keepNext w:val="0"/>
        <w:keepLines w:val="0"/>
        <w:pageBreakBefore w:val="0"/>
        <w:kinsoku/>
        <w:wordWrap/>
        <w:overflowPunct/>
        <w:topLinePunct w:val="0"/>
        <w:autoSpaceDE w:val="0"/>
        <w:autoSpaceDN w:val="0"/>
        <w:bidi w:val="0"/>
        <w:spacing w:line="360" w:lineRule="auto"/>
        <w:ind w:left="0" w:right="0" w:firstLine="480" w:firstLineChars="200"/>
        <w:jc w:val="both"/>
        <w:textAlignment w:val="auto"/>
      </w:pPr>
    </w:p>
    <w:p>
      <w:pPr>
        <w:pStyle w:val="3"/>
        <w:keepNext w:val="0"/>
        <w:keepLines w:val="0"/>
        <w:pageBreakBefore w:val="0"/>
        <w:kinsoku/>
        <w:wordWrap/>
        <w:overflowPunct/>
        <w:topLinePunct w:val="0"/>
        <w:autoSpaceDE w:val="0"/>
        <w:autoSpaceDN w:val="0"/>
        <w:bidi w:val="0"/>
        <w:spacing w:line="360" w:lineRule="auto"/>
        <w:ind w:left="0" w:right="0" w:firstLine="562" w:firstLineChars="200"/>
        <w:jc w:val="both"/>
        <w:textAlignment w:val="auto"/>
        <w:rPr>
          <w:b/>
          <w:bCs/>
        </w:rPr>
      </w:pPr>
      <w:bookmarkStart w:id="11" w:name="六、造福员工"/>
      <w:bookmarkEnd w:id="11"/>
      <w:bookmarkStart w:id="12" w:name="_Toc24531710"/>
      <w:r>
        <w:rPr>
          <w:rFonts w:hint="eastAsia"/>
          <w:b/>
          <w:bCs/>
          <w:lang w:val="en-US" w:eastAsia="zh-CN"/>
        </w:rPr>
        <w:t>五</w:t>
      </w:r>
      <w:r>
        <w:rPr>
          <w:b/>
          <w:bCs/>
        </w:rPr>
        <w:t>、造福员工</w:t>
      </w:r>
      <w:bookmarkEnd w:id="12"/>
    </w:p>
    <w:p>
      <w:pPr>
        <w:pStyle w:val="4"/>
        <w:keepNext w:val="0"/>
        <w:keepLines w:val="0"/>
        <w:pageBreakBefore w:val="0"/>
        <w:kinsoku/>
        <w:wordWrap/>
        <w:overflowPunct/>
        <w:topLinePunct w:val="0"/>
        <w:autoSpaceDE w:val="0"/>
        <w:autoSpaceDN w:val="0"/>
        <w:bidi w:val="0"/>
        <w:spacing w:line="360" w:lineRule="auto"/>
        <w:ind w:left="0" w:right="0" w:firstLine="440" w:firstLineChars="200"/>
        <w:jc w:val="both"/>
        <w:textAlignment w:val="auto"/>
        <w:rPr>
          <w:sz w:val="22"/>
        </w:rPr>
      </w:pPr>
    </w:p>
    <w:p>
      <w:pPr>
        <w:pStyle w:val="4"/>
        <w:keepNext w:val="0"/>
        <w:keepLines w:val="0"/>
        <w:pageBreakBefore w:val="0"/>
        <w:kinsoku/>
        <w:wordWrap/>
        <w:overflowPunct/>
        <w:topLinePunct w:val="0"/>
        <w:autoSpaceDE w:val="0"/>
        <w:autoSpaceDN w:val="0"/>
        <w:bidi w:val="0"/>
        <w:spacing w:line="360" w:lineRule="auto"/>
        <w:ind w:left="0" w:right="0" w:firstLine="440" w:firstLineChars="200"/>
        <w:jc w:val="both"/>
        <w:textAlignment w:val="auto"/>
        <w:rPr>
          <w:rFonts w:hint="default" w:eastAsia="宋体"/>
          <w:highlight w:val="none"/>
          <w:lang w:val="en-US" w:eastAsia="zh-CN"/>
        </w:rPr>
      </w:pPr>
      <w:r>
        <w:rPr>
          <w:spacing w:val="-10"/>
          <w:highlight w:val="none"/>
        </w:rPr>
        <w:t>公司着力构建“</w:t>
      </w:r>
      <w:r>
        <w:rPr>
          <w:rFonts w:hint="eastAsia" w:cs="宋体" w:asciiTheme="minorEastAsia" w:hAnsiTheme="minorEastAsia" w:eastAsiaTheme="minorEastAsia"/>
          <w:color w:val="000000" w:themeColor="text1"/>
          <w:sz w:val="24"/>
          <w:szCs w:val="24"/>
          <w:highlight w:val="none"/>
          <w:lang w:eastAsia="zh-CN"/>
          <w14:textFill>
            <w14:solidFill>
              <w14:schemeClr w14:val="tx1"/>
            </w14:solidFill>
          </w14:textFill>
        </w:rPr>
        <w:t>以用户为核心、以质取信、融合创新、坚持勤勉、分享与赋能</w:t>
      </w:r>
      <w:r>
        <w:rPr>
          <w:spacing w:val="-10"/>
          <w:highlight w:val="none"/>
        </w:rPr>
        <w:t>”的</w:t>
      </w:r>
      <w:r>
        <w:rPr>
          <w:highlight w:val="none"/>
        </w:rPr>
        <w:t>企业文化，不断提升企业的软实力，</w:t>
      </w:r>
      <w:r>
        <w:rPr>
          <w:rFonts w:hint="eastAsia"/>
          <w:highlight w:val="none"/>
          <w:lang w:val="en-US" w:eastAsia="zh-CN"/>
        </w:rPr>
        <w:t>提升员工幸福指数。</w:t>
      </w:r>
    </w:p>
    <w:p>
      <w:pPr>
        <w:pStyle w:val="14"/>
        <w:keepNext w:val="0"/>
        <w:keepLines w:val="0"/>
        <w:pageBreakBefore w:val="0"/>
        <w:numPr>
          <w:ilvl w:val="0"/>
          <w:numId w:val="0"/>
        </w:numPr>
        <w:tabs>
          <w:tab w:val="left" w:pos="540"/>
        </w:tabs>
        <w:kinsoku/>
        <w:wordWrap/>
        <w:overflowPunct/>
        <w:topLinePunct w:val="0"/>
        <w:autoSpaceDE w:val="0"/>
        <w:autoSpaceDN w:val="0"/>
        <w:bidi w:val="0"/>
        <w:spacing w:before="0" w:line="360" w:lineRule="auto"/>
        <w:ind w:leftChars="200" w:right="0" w:rightChars="0"/>
        <w:jc w:val="both"/>
        <w:textAlignment w:val="auto"/>
        <w:rPr>
          <w:sz w:val="24"/>
        </w:rPr>
      </w:pPr>
      <w:r>
        <w:rPr>
          <w:rFonts w:hint="eastAsia"/>
          <w:sz w:val="24"/>
          <w:lang w:val="en-US" w:eastAsia="zh-CN"/>
        </w:rPr>
        <w:t xml:space="preserve">5.1 </w:t>
      </w:r>
      <w:r>
        <w:rPr>
          <w:sz w:val="24"/>
        </w:rPr>
        <w:t>确保员工权益</w:t>
      </w:r>
    </w:p>
    <w:p>
      <w:pPr>
        <w:pStyle w:val="4"/>
        <w:keepNext w:val="0"/>
        <w:keepLines w:val="0"/>
        <w:pageBreakBefore w:val="0"/>
        <w:kinsoku/>
        <w:wordWrap/>
        <w:overflowPunct/>
        <w:topLinePunct w:val="0"/>
        <w:autoSpaceDE w:val="0"/>
        <w:autoSpaceDN w:val="0"/>
        <w:bidi w:val="0"/>
        <w:spacing w:line="360" w:lineRule="auto"/>
        <w:ind w:left="0" w:right="0" w:firstLine="452" w:firstLineChars="200"/>
        <w:jc w:val="both"/>
        <w:textAlignment w:val="auto"/>
      </w:pPr>
      <w:r>
        <w:rPr>
          <w:spacing w:val="-7"/>
        </w:rPr>
        <w:t>在全球经济形势不稳定、变化多变的影响下，在公司身处逆境的时候，如何处理好职工利益和公司的利益关系，稳定队伍，凝聚人心，储备人才，是摆在公司管理层面前一个重要难题。员工是企业最宝贵的财富，企业的发展离不开员工</w:t>
      </w:r>
      <w:r>
        <w:rPr>
          <w:spacing w:val="-21"/>
        </w:rPr>
        <w:t xml:space="preserve">的辛勤劳动，公司始终秉承企业与员工“共赢发展”的理念，在企业发展的同时， </w:t>
      </w:r>
      <w:r>
        <w:rPr>
          <w:spacing w:val="-8"/>
        </w:rPr>
        <w:t>没有忘记对员工的回报，并致力于提高和改善员工的工作环境，职业发展平台以</w:t>
      </w:r>
      <w:r>
        <w:t>及合适的收入。</w:t>
      </w:r>
    </w:p>
    <w:p>
      <w:pPr>
        <w:pStyle w:val="14"/>
        <w:keepNext w:val="0"/>
        <w:keepLines w:val="0"/>
        <w:pageBreakBefore w:val="0"/>
        <w:numPr>
          <w:ilvl w:val="0"/>
          <w:numId w:val="0"/>
        </w:numPr>
        <w:tabs>
          <w:tab w:val="left" w:pos="540"/>
        </w:tabs>
        <w:kinsoku/>
        <w:wordWrap/>
        <w:overflowPunct/>
        <w:topLinePunct w:val="0"/>
        <w:autoSpaceDE w:val="0"/>
        <w:autoSpaceDN w:val="0"/>
        <w:bidi w:val="0"/>
        <w:spacing w:before="0" w:line="360" w:lineRule="auto"/>
        <w:ind w:leftChars="200" w:right="0" w:rightChars="0"/>
        <w:jc w:val="both"/>
        <w:textAlignment w:val="auto"/>
        <w:rPr>
          <w:sz w:val="24"/>
        </w:rPr>
      </w:pPr>
      <w:r>
        <w:rPr>
          <w:rFonts w:hint="eastAsia"/>
          <w:sz w:val="24"/>
          <w:lang w:val="en-US" w:eastAsia="zh-CN"/>
        </w:rPr>
        <w:t xml:space="preserve">5.2 </w:t>
      </w:r>
      <w:r>
        <w:rPr>
          <w:sz w:val="24"/>
        </w:rPr>
        <w:t>重视职业健康安全</w:t>
      </w:r>
    </w:p>
    <w:p>
      <w:pPr>
        <w:pStyle w:val="8"/>
        <w:pBdr>
          <w:bottom w:val="none" w:color="auto" w:sz="0" w:space="0"/>
        </w:pBdr>
        <w:spacing w:line="360" w:lineRule="auto"/>
        <w:ind w:firstLine="396" w:firstLineChars="200"/>
        <w:jc w:val="both"/>
      </w:pPr>
      <w:r>
        <w:rPr>
          <w:color w:val="auto"/>
          <w:spacing w:val="-21"/>
          <w:sz w:val="24"/>
          <w:szCs w:val="24"/>
          <w:highlight w:val="none"/>
        </w:rPr>
        <w:t>公司始终坚</w:t>
      </w:r>
      <w:r>
        <w:rPr>
          <w:color w:val="auto"/>
          <w:spacing w:val="-15"/>
          <w:sz w:val="24"/>
          <w:szCs w:val="24"/>
          <w:highlight w:val="none"/>
        </w:rPr>
        <w:t>持“</w:t>
      </w:r>
      <w:r>
        <w:rPr>
          <w:rFonts w:hint="eastAsia"/>
          <w:sz w:val="24"/>
          <w:szCs w:val="24"/>
          <w:highlight w:val="none"/>
          <w:lang w:eastAsia="zh-CN"/>
        </w:rPr>
        <w:t>顾客至上、优质高效、全员参与、持续改进、预防污染、绿色排放、遵守法律、安全第一</w:t>
      </w:r>
      <w:r>
        <w:rPr>
          <w:color w:val="auto"/>
          <w:spacing w:val="-15"/>
          <w:sz w:val="24"/>
          <w:szCs w:val="24"/>
          <w:highlight w:val="none"/>
        </w:rPr>
        <w:t>”的方针</w:t>
      </w:r>
      <w:r>
        <w:rPr>
          <w:rFonts w:hint="eastAsia"/>
          <w:color w:val="auto"/>
          <w:spacing w:val="-15"/>
          <w:sz w:val="24"/>
          <w:szCs w:val="24"/>
          <w:highlight w:val="none"/>
        </w:rPr>
        <w:t>，</w:t>
      </w:r>
      <w:r>
        <w:rPr>
          <w:color w:val="auto"/>
          <w:spacing w:val="-15"/>
          <w:sz w:val="24"/>
          <w:szCs w:val="24"/>
          <w:highlight w:val="none"/>
        </w:rPr>
        <w:t>以</w:t>
      </w:r>
      <w:r>
        <w:rPr>
          <w:color w:val="auto"/>
          <w:spacing w:val="-15"/>
          <w:sz w:val="24"/>
          <w:szCs w:val="24"/>
        </w:rPr>
        <w:t xml:space="preserve">超前预防作为安全工作的核心，以安全生产责任制为重点，以安全评价、考核、责任追究和过程动态控制为手段， </w:t>
      </w:r>
      <w:r>
        <w:rPr>
          <w:color w:val="auto"/>
          <w:spacing w:val="-1"/>
          <w:sz w:val="24"/>
          <w:szCs w:val="24"/>
        </w:rPr>
        <w:t>以安全教育培训为保障，以安全生产标准化为主体，建立安全生产的长效机制。</w:t>
      </w:r>
    </w:p>
    <w:p>
      <w:pPr>
        <w:pStyle w:val="4"/>
        <w:keepNext w:val="0"/>
        <w:keepLines w:val="0"/>
        <w:pageBreakBefore w:val="0"/>
        <w:kinsoku/>
        <w:wordWrap/>
        <w:overflowPunct/>
        <w:topLinePunct w:val="0"/>
        <w:autoSpaceDE w:val="0"/>
        <w:autoSpaceDN w:val="0"/>
        <w:bidi w:val="0"/>
        <w:spacing w:line="360" w:lineRule="auto"/>
        <w:ind w:left="0" w:right="0" w:firstLine="436" w:firstLineChars="200"/>
        <w:jc w:val="both"/>
        <w:textAlignment w:val="auto"/>
        <w:rPr>
          <w:spacing w:val="-4"/>
        </w:rPr>
      </w:pPr>
      <w:r>
        <w:rPr>
          <w:spacing w:val="-11"/>
        </w:rPr>
        <w:t>公司十分重视、关爱员工的健康，除了按照国家及地方有关社会保险方面的</w:t>
      </w:r>
      <w:r>
        <w:rPr>
          <w:spacing w:val="-22"/>
        </w:rPr>
        <w:t>法律、法规参加社会养老保险、基本医疗保险、工伤保险、生育险等社会保险</w:t>
      </w:r>
      <w:r>
        <w:rPr>
          <w:rFonts w:hint="eastAsia"/>
          <w:spacing w:val="-22"/>
        </w:rPr>
        <w:t>，</w:t>
      </w:r>
      <w:r>
        <w:rPr>
          <w:spacing w:val="-4"/>
        </w:rPr>
        <w:t>让职工更多的享受医疗保障，适度减轻个人住院费用负担、解决特殊工种岗位疾病导致的经济损失、补偿经常出差在外职工疾病、意外伤害和乘坐交通工具所引发的风险带来的损失，尽力完善员工的保障</w:t>
      </w:r>
      <w:r>
        <w:rPr>
          <w:rFonts w:hint="eastAsia"/>
          <w:spacing w:val="-4"/>
        </w:rPr>
        <w:t>范围，免除员工的后顾之忧。</w:t>
      </w:r>
    </w:p>
    <w:p>
      <w:pPr>
        <w:pStyle w:val="4"/>
        <w:keepNext w:val="0"/>
        <w:keepLines w:val="0"/>
        <w:pageBreakBefore w:val="0"/>
        <w:kinsoku/>
        <w:wordWrap/>
        <w:overflowPunct/>
        <w:topLinePunct w:val="0"/>
        <w:autoSpaceDE w:val="0"/>
        <w:autoSpaceDN w:val="0"/>
        <w:bidi w:val="0"/>
        <w:spacing w:line="360" w:lineRule="auto"/>
        <w:ind w:left="0" w:right="0" w:firstLine="464" w:firstLineChars="200"/>
        <w:jc w:val="both"/>
        <w:textAlignment w:val="auto"/>
      </w:pPr>
      <w:r>
        <w:rPr>
          <w:rFonts w:hint="eastAsia"/>
          <w:spacing w:val="-4"/>
        </w:rPr>
        <w:t>公司也十分重视职工群众的身心健康，内部成立的各类文娱小组</w:t>
      </w:r>
      <w:r>
        <w:rPr>
          <w:spacing w:val="-4"/>
        </w:rPr>
        <w:t>，积极开展活</w:t>
      </w:r>
      <w:r>
        <w:rPr>
          <w:spacing w:val="-21"/>
        </w:rPr>
        <w:t xml:space="preserve">动，并组织了包括篮球、羽毛球等多场比赛。职工可以根据自己的爱好特长和情趣， </w:t>
      </w:r>
      <w:r>
        <w:rPr>
          <w:spacing w:val="-7"/>
        </w:rPr>
        <w:t>展示自己的才华，提升品味，充实精神生活，既活跃了职工的精神生活，也增强了企业的向心力和凝聚力。</w:t>
      </w:r>
    </w:p>
    <w:p>
      <w:pPr>
        <w:pStyle w:val="14"/>
        <w:keepNext w:val="0"/>
        <w:keepLines w:val="0"/>
        <w:pageBreakBefore w:val="0"/>
        <w:numPr>
          <w:ilvl w:val="0"/>
          <w:numId w:val="0"/>
        </w:numPr>
        <w:tabs>
          <w:tab w:val="left" w:pos="540"/>
        </w:tabs>
        <w:kinsoku/>
        <w:wordWrap/>
        <w:overflowPunct/>
        <w:topLinePunct w:val="0"/>
        <w:autoSpaceDE w:val="0"/>
        <w:autoSpaceDN w:val="0"/>
        <w:bidi w:val="0"/>
        <w:spacing w:before="0" w:line="360" w:lineRule="auto"/>
        <w:ind w:leftChars="200" w:right="0" w:rightChars="0"/>
        <w:jc w:val="both"/>
        <w:textAlignment w:val="auto"/>
        <w:rPr>
          <w:sz w:val="24"/>
        </w:rPr>
      </w:pPr>
      <w:r>
        <w:rPr>
          <w:rFonts w:hint="eastAsia"/>
          <w:sz w:val="24"/>
          <w:lang w:val="en-US" w:eastAsia="zh-CN"/>
        </w:rPr>
        <w:t xml:space="preserve">5.3 </w:t>
      </w:r>
      <w:r>
        <w:rPr>
          <w:sz w:val="24"/>
        </w:rPr>
        <w:t>拓展员工职业成长</w:t>
      </w:r>
    </w:p>
    <w:p>
      <w:pPr>
        <w:pStyle w:val="4"/>
        <w:keepNext w:val="0"/>
        <w:keepLines w:val="0"/>
        <w:pageBreakBefore w:val="0"/>
        <w:kinsoku/>
        <w:wordWrap/>
        <w:overflowPunct/>
        <w:topLinePunct w:val="0"/>
        <w:autoSpaceDE w:val="0"/>
        <w:autoSpaceDN w:val="0"/>
        <w:bidi w:val="0"/>
        <w:spacing w:line="360" w:lineRule="auto"/>
        <w:ind w:left="0" w:right="0" w:firstLine="464" w:firstLineChars="200"/>
        <w:jc w:val="both"/>
        <w:textAlignment w:val="auto"/>
      </w:pPr>
      <w:r>
        <w:rPr>
          <w:spacing w:val="-4"/>
        </w:rPr>
        <w:t>随着公司产品结构优化调整步伐加快以及尽快提高公司技术创新能力，适应</w:t>
      </w:r>
      <w:r>
        <w:rPr>
          <w:spacing w:val="-10"/>
        </w:rPr>
        <w:t>市场对科技人才的需求，现有技术人员资源已不能满足公司发展的需要，为保证</w:t>
      </w:r>
      <w:r>
        <w:rPr>
          <w:spacing w:val="-13"/>
        </w:rPr>
        <w:t>公司各技术岗位能够及时有效地补充所需的优秀人才，适时、适度、适量地招收</w:t>
      </w:r>
      <w:r>
        <w:rPr>
          <w:spacing w:val="-17"/>
        </w:rPr>
        <w:t>一批不同地区不同学校的优秀大中专应届毕业生，并加以培养，使其尽快胜任工作，解决公司现有人力资源不足，改善公司人才结构，提高公司人才创新能力。</w:t>
      </w:r>
    </w:p>
    <w:p>
      <w:pPr>
        <w:pStyle w:val="4"/>
        <w:keepNext w:val="0"/>
        <w:keepLines w:val="0"/>
        <w:pageBreakBefore w:val="0"/>
        <w:kinsoku/>
        <w:wordWrap/>
        <w:overflowPunct/>
        <w:topLinePunct w:val="0"/>
        <w:autoSpaceDE w:val="0"/>
        <w:autoSpaceDN w:val="0"/>
        <w:bidi w:val="0"/>
        <w:spacing w:line="360" w:lineRule="auto"/>
        <w:ind w:left="0" w:right="0" w:firstLine="456" w:firstLineChars="200"/>
        <w:jc w:val="both"/>
        <w:textAlignment w:val="auto"/>
      </w:pPr>
      <w:r>
        <w:rPr>
          <w:spacing w:val="-6"/>
        </w:rPr>
        <w:t>公司在招聘引进人才的同时，注重人才培养措施，根据公司发展的需要和稳</w:t>
      </w:r>
      <w:r>
        <w:rPr>
          <w:spacing w:val="-12"/>
        </w:rPr>
        <w:t>定人才的工作实际，建立技术、管理、技能人才骨干队伍，争取逐步形成结构合</w:t>
      </w:r>
      <w:r>
        <w:rPr>
          <w:spacing w:val="-11"/>
        </w:rPr>
        <w:t>理、高效精干的人才队伍群体，以满足公司参与市场竞争和追赶世界先进水平的</w:t>
      </w:r>
      <w:r>
        <w:rPr>
          <w:spacing w:val="-20"/>
        </w:rPr>
        <w:t>需要。为此，企业制定了人才培养措施和人才培训计划，面向市场和研发，实施人力结构调整，着力建设后备人才库、</w:t>
      </w:r>
      <w:r>
        <w:rPr>
          <w:spacing w:val="-8"/>
        </w:rPr>
        <w:t>开发分类课程、优化内部讲师队伍、打造校企合作基地、依托网络系统搭建</w:t>
      </w:r>
      <w:r>
        <w:rPr>
          <w:rFonts w:hint="eastAsia"/>
          <w:spacing w:val="-8"/>
          <w:lang w:eastAsia="zh-CN"/>
        </w:rPr>
        <w:t>南腾</w:t>
      </w:r>
      <w:r>
        <w:rPr>
          <w:spacing w:val="-12"/>
        </w:rPr>
        <w:t>网络学习平台，重点实施营销人才、核心管理人才、关键技术人才、重点高技</w:t>
      </w:r>
      <w:r>
        <w:rPr>
          <w:spacing w:val="-11"/>
        </w:rPr>
        <w:t>能人才、班组长、三年以内新员工、第二能力开发等几大人才培育专项工程。这</w:t>
      </w:r>
      <w:r>
        <w:rPr>
          <w:spacing w:val="-13"/>
        </w:rPr>
        <w:t>些措施计划，有利于增强人才队伍的责任感和使命感，强化企业荣誉感和忠诚教</w:t>
      </w:r>
      <w:r>
        <w:rPr>
          <w:spacing w:val="-11"/>
        </w:rPr>
        <w:t>育度，提高人才队伍的工作主动性、创造紧迫性，这不仅是公司发展需要，也是</w:t>
      </w:r>
      <w:r>
        <w:rPr>
          <w:spacing w:val="-15"/>
        </w:rPr>
        <w:t>国家建设制造强国的需要。公司不断完善用人机制，大力营造一个良好的施才环境，加大优秀人才的引进力度，以待遇吸引人，以事业留住人，以感情打动人。</w:t>
      </w:r>
      <w:r>
        <w:rPr>
          <w:spacing w:val="-22"/>
        </w:rPr>
        <w:t>采取多种渠道发现、培养、造就人才，实施“走出去、引进来”两条腿走路方略， 促进人才队伍技术技能素质的迅速提升。</w:t>
      </w:r>
    </w:p>
    <w:p>
      <w:pPr>
        <w:pStyle w:val="14"/>
        <w:keepNext w:val="0"/>
        <w:keepLines w:val="0"/>
        <w:pageBreakBefore w:val="0"/>
        <w:numPr>
          <w:ilvl w:val="0"/>
          <w:numId w:val="0"/>
        </w:numPr>
        <w:tabs>
          <w:tab w:val="left" w:pos="540"/>
        </w:tabs>
        <w:kinsoku/>
        <w:wordWrap/>
        <w:overflowPunct/>
        <w:topLinePunct w:val="0"/>
        <w:autoSpaceDE w:val="0"/>
        <w:autoSpaceDN w:val="0"/>
        <w:bidi w:val="0"/>
        <w:spacing w:before="0" w:line="360" w:lineRule="auto"/>
        <w:ind w:leftChars="200" w:right="0" w:rightChars="0"/>
        <w:jc w:val="both"/>
        <w:textAlignment w:val="auto"/>
        <w:rPr>
          <w:sz w:val="24"/>
        </w:rPr>
      </w:pPr>
      <w:r>
        <w:rPr>
          <w:rFonts w:hint="eastAsia"/>
          <w:sz w:val="24"/>
          <w:lang w:val="en-US" w:eastAsia="zh-CN"/>
        </w:rPr>
        <w:t xml:space="preserve">5.4 </w:t>
      </w:r>
      <w:r>
        <w:rPr>
          <w:sz w:val="24"/>
        </w:rPr>
        <w:t>完善管理体制与软环境建设</w:t>
      </w:r>
    </w:p>
    <w:p>
      <w:pPr>
        <w:pStyle w:val="4"/>
        <w:keepNext w:val="0"/>
        <w:keepLines w:val="0"/>
        <w:pageBreakBefore w:val="0"/>
        <w:kinsoku/>
        <w:wordWrap/>
        <w:overflowPunct/>
        <w:topLinePunct w:val="0"/>
        <w:autoSpaceDE w:val="0"/>
        <w:autoSpaceDN w:val="0"/>
        <w:bidi w:val="0"/>
        <w:spacing w:line="360" w:lineRule="auto"/>
        <w:ind w:left="0" w:right="0" w:firstLine="480" w:firstLineChars="200"/>
        <w:jc w:val="both"/>
        <w:textAlignment w:val="auto"/>
      </w:pPr>
      <w:r>
        <w:t>公司建立了以人为本的人力资源开发和管理工作系统、激励机制和员工培训</w:t>
      </w:r>
    </w:p>
    <w:p>
      <w:pPr>
        <w:pStyle w:val="4"/>
        <w:keepNext w:val="0"/>
        <w:keepLines w:val="0"/>
        <w:pageBreakBefore w:val="0"/>
        <w:kinsoku/>
        <w:wordWrap/>
        <w:overflowPunct/>
        <w:topLinePunct w:val="0"/>
        <w:autoSpaceDE w:val="0"/>
        <w:autoSpaceDN w:val="0"/>
        <w:bidi w:val="0"/>
        <w:spacing w:line="360" w:lineRule="auto"/>
        <w:ind w:left="0" w:right="0" w:firstLine="476" w:firstLineChars="200"/>
        <w:jc w:val="both"/>
        <w:textAlignment w:val="auto"/>
      </w:pPr>
      <w:r>
        <w:rPr>
          <w:spacing w:val="-1"/>
        </w:rPr>
        <w:t>与教育体系。公司始终坚持观念创新、制度创新的原则，创造一种公平、公正、</w:t>
      </w:r>
      <w:r>
        <w:rPr>
          <w:spacing w:val="-9"/>
        </w:rPr>
        <w:t>公开的氛围，建立一套充分发挥个人潜能的机制，提供一个充分实现自我价值的</w:t>
      </w:r>
      <w:r>
        <w:rPr>
          <w:spacing w:val="-11"/>
        </w:rPr>
        <w:t>发展空间。公司</w:t>
      </w:r>
      <w:r>
        <w:rPr>
          <w:rFonts w:hint="eastAsia"/>
          <w:spacing w:val="-11"/>
          <w:lang w:eastAsia="zh-CN"/>
        </w:rPr>
        <w:t>综合部</w:t>
      </w:r>
      <w:r>
        <w:rPr>
          <w:spacing w:val="-11"/>
        </w:rPr>
        <w:t>对各部门岗位进行普查，并进行关键岗位识别，加大</w:t>
      </w:r>
      <w:r>
        <w:rPr>
          <w:spacing w:val="-21"/>
        </w:rPr>
        <w:t xml:space="preserve">对关键岗位的人力资源配置和管理，建设公司后备人才梯队，完善人才引入制度， </w:t>
      </w:r>
      <w:r>
        <w:t>形成“能吸引、有门槛、留得住、有限制”的合理化人力资源管理。</w:t>
      </w:r>
    </w:p>
    <w:p>
      <w:pPr>
        <w:pStyle w:val="4"/>
        <w:keepNext w:val="0"/>
        <w:keepLines w:val="0"/>
        <w:pageBreakBefore w:val="0"/>
        <w:kinsoku/>
        <w:wordWrap/>
        <w:overflowPunct/>
        <w:topLinePunct w:val="0"/>
        <w:autoSpaceDE w:val="0"/>
        <w:autoSpaceDN w:val="0"/>
        <w:bidi w:val="0"/>
        <w:spacing w:line="360" w:lineRule="auto"/>
        <w:ind w:left="0" w:right="0" w:firstLine="456" w:firstLineChars="200"/>
        <w:jc w:val="both"/>
        <w:textAlignment w:val="auto"/>
      </w:pPr>
      <w:r>
        <w:rPr>
          <w:spacing w:val="-6"/>
        </w:rPr>
        <w:t>人才的培养离不开软环境和硬环境的建设，软环境方面，加强技术人员、管</w:t>
      </w:r>
      <w:r>
        <w:rPr>
          <w:spacing w:val="-11"/>
        </w:rPr>
        <w:t>理人员、技术工人的团队建设，团队作为一个集体，是一个企业发展和竞争的核</w:t>
      </w:r>
      <w:r>
        <w:rPr>
          <w:spacing w:val="-21"/>
        </w:rPr>
        <w:t xml:space="preserve">心力量，企业与企业之间的竞争，关键是团队与团队之间的竞争，通过领导协调， </w:t>
      </w:r>
      <w:r>
        <w:rPr>
          <w:spacing w:val="-9"/>
        </w:rPr>
        <w:t>各团队分工合作，互敬、互爱、互助、互学，逐渐磨合，形成优势互补、取长补短，相互克服、相互激发，最终实现最高的工作效率。</w:t>
      </w:r>
    </w:p>
    <w:p>
      <w:pPr>
        <w:pStyle w:val="14"/>
        <w:keepNext w:val="0"/>
        <w:keepLines w:val="0"/>
        <w:pageBreakBefore w:val="0"/>
        <w:numPr>
          <w:ilvl w:val="0"/>
          <w:numId w:val="0"/>
        </w:numPr>
        <w:tabs>
          <w:tab w:val="left" w:pos="540"/>
        </w:tabs>
        <w:kinsoku/>
        <w:wordWrap/>
        <w:overflowPunct/>
        <w:topLinePunct w:val="0"/>
        <w:autoSpaceDE w:val="0"/>
        <w:autoSpaceDN w:val="0"/>
        <w:bidi w:val="0"/>
        <w:spacing w:before="0" w:line="360" w:lineRule="auto"/>
        <w:ind w:leftChars="200" w:right="0" w:rightChars="0"/>
        <w:jc w:val="both"/>
        <w:textAlignment w:val="auto"/>
        <w:rPr>
          <w:sz w:val="24"/>
        </w:rPr>
      </w:pPr>
      <w:r>
        <w:rPr>
          <w:rFonts w:hint="eastAsia"/>
          <w:sz w:val="24"/>
          <w:lang w:val="en-US" w:eastAsia="zh-CN"/>
        </w:rPr>
        <w:t xml:space="preserve">5.5 </w:t>
      </w:r>
      <w:r>
        <w:rPr>
          <w:sz w:val="24"/>
        </w:rPr>
        <w:t>构建祥和工作氛围</w:t>
      </w:r>
    </w:p>
    <w:p>
      <w:pPr>
        <w:pStyle w:val="4"/>
        <w:keepNext w:val="0"/>
        <w:keepLines w:val="0"/>
        <w:pageBreakBefore w:val="0"/>
        <w:kinsoku/>
        <w:wordWrap/>
        <w:overflowPunct/>
        <w:topLinePunct w:val="0"/>
        <w:autoSpaceDE w:val="0"/>
        <w:autoSpaceDN w:val="0"/>
        <w:bidi w:val="0"/>
        <w:spacing w:line="360" w:lineRule="auto"/>
        <w:ind w:left="0" w:right="0" w:firstLine="456" w:firstLineChars="200"/>
        <w:jc w:val="both"/>
        <w:textAlignment w:val="auto"/>
      </w:pPr>
      <w:r>
        <w:rPr>
          <w:spacing w:val="-6"/>
        </w:rPr>
        <w:t>公司十分注重调动全体员工的积极性，在推出与员工切身利益密切相关的政</w:t>
      </w:r>
      <w:r>
        <w:rPr>
          <w:spacing w:val="-10"/>
        </w:rPr>
        <w:t>策、规定时，公司都通过座谈会</w:t>
      </w:r>
      <w:r>
        <w:rPr>
          <w:rFonts w:hint="eastAsia"/>
          <w:spacing w:val="-10"/>
        </w:rPr>
        <w:t>、</w:t>
      </w:r>
      <w:r>
        <w:rPr>
          <w:spacing w:val="-10"/>
        </w:rPr>
        <w:t>专题调研等形式，广泛听取意见。对</w:t>
      </w:r>
      <w:r>
        <w:rPr>
          <w:spacing w:val="-14"/>
        </w:rPr>
        <w:t>职工反映的问题进行认真地调查并通过职工代表大会方式进行讨论、研究，给予解决和答复，使广大员工感受到自己是企业的主人，企业是自己的家。</w:t>
      </w:r>
      <w:r>
        <w:rPr>
          <w:spacing w:val="-6"/>
        </w:rPr>
        <w:t>为使员工了解企业的经营情况、发展战略、改革措施等重大事项，搭建员工与高</w:t>
      </w:r>
      <w:r>
        <w:rPr>
          <w:spacing w:val="-7"/>
        </w:rPr>
        <w:t xml:space="preserve">层管理人员的有效沟通平台和渠道。公司工会制定了员工定期座谈会管理办法， </w:t>
      </w:r>
      <w:r>
        <w:rPr>
          <w:spacing w:val="-20"/>
        </w:rPr>
        <w:t>每月</w:t>
      </w:r>
      <w:r>
        <w:rPr>
          <w:rFonts w:hint="eastAsia"/>
        </w:rPr>
        <w:t>有固定时间</w:t>
      </w:r>
      <w:r>
        <w:rPr>
          <w:spacing w:val="-8"/>
        </w:rPr>
        <w:t>定为员工接待日，听取员工对公司发展过程中的意见和建议及员工最关心、最直接的问题和意见，解答员工的凝问。</w:t>
      </w:r>
    </w:p>
    <w:p>
      <w:pPr>
        <w:pStyle w:val="4"/>
        <w:keepNext w:val="0"/>
        <w:keepLines w:val="0"/>
        <w:pageBreakBefore w:val="0"/>
        <w:kinsoku/>
        <w:wordWrap/>
        <w:overflowPunct/>
        <w:topLinePunct w:val="0"/>
        <w:autoSpaceDE w:val="0"/>
        <w:autoSpaceDN w:val="0"/>
        <w:bidi w:val="0"/>
        <w:spacing w:line="360" w:lineRule="auto"/>
        <w:ind w:left="0" w:right="0" w:firstLine="440" w:firstLineChars="200"/>
        <w:jc w:val="both"/>
        <w:textAlignment w:val="auto"/>
      </w:pPr>
      <w:r>
        <w:rPr>
          <w:spacing w:val="-10"/>
        </w:rPr>
        <w:t>同时，通过举办多种多样的文艺活动、培训讨论等活</w:t>
      </w:r>
      <w:r>
        <w:rPr>
          <w:spacing w:val="-7"/>
        </w:rPr>
        <w:t>动来增强员工凝聚力和向心力，提高员工身心素质。家庭是企业的细胞，只有职</w:t>
      </w:r>
      <w:r>
        <w:rPr>
          <w:spacing w:val="-8"/>
        </w:rPr>
        <w:t>工家庭唱响和谐之音，职工才能全力以赴地投入到工作中，企业才能实现稳定发</w:t>
      </w:r>
      <w:r>
        <w:rPr>
          <w:spacing w:val="-10"/>
        </w:rPr>
        <w:t>展。公司深入实施文明家庭创建工程，努力构建和谐稳定家园，为公司的稳定健</w:t>
      </w:r>
      <w:r>
        <w:t>康发展创造安定向上的良好氛围。</w:t>
      </w:r>
    </w:p>
    <w:p>
      <w:pPr>
        <w:pStyle w:val="4"/>
        <w:keepNext w:val="0"/>
        <w:keepLines w:val="0"/>
        <w:pageBreakBefore w:val="0"/>
        <w:kinsoku/>
        <w:wordWrap/>
        <w:overflowPunct/>
        <w:topLinePunct w:val="0"/>
        <w:autoSpaceDE w:val="0"/>
        <w:autoSpaceDN w:val="0"/>
        <w:bidi w:val="0"/>
        <w:spacing w:line="360" w:lineRule="auto"/>
        <w:ind w:left="0" w:right="0" w:firstLine="480" w:firstLineChars="200"/>
        <w:jc w:val="both"/>
        <w:textAlignment w:val="auto"/>
      </w:pPr>
    </w:p>
    <w:p>
      <w:pPr>
        <w:pStyle w:val="3"/>
        <w:keepNext w:val="0"/>
        <w:keepLines w:val="0"/>
        <w:pageBreakBefore w:val="0"/>
        <w:numPr>
          <w:ilvl w:val="0"/>
          <w:numId w:val="0"/>
        </w:numPr>
        <w:kinsoku/>
        <w:wordWrap/>
        <w:overflowPunct/>
        <w:topLinePunct w:val="0"/>
        <w:autoSpaceDE w:val="0"/>
        <w:autoSpaceDN w:val="0"/>
        <w:bidi w:val="0"/>
        <w:spacing w:line="360" w:lineRule="auto"/>
        <w:ind w:leftChars="200" w:right="0" w:rightChars="0" w:firstLine="281" w:firstLineChars="100"/>
        <w:jc w:val="both"/>
        <w:textAlignment w:val="auto"/>
        <w:rPr>
          <w:b/>
          <w:bCs/>
        </w:rPr>
      </w:pPr>
      <w:bookmarkStart w:id="13" w:name="七、奉献社会"/>
      <w:bookmarkEnd w:id="13"/>
      <w:bookmarkStart w:id="14" w:name="_Toc24531711"/>
      <w:r>
        <w:rPr>
          <w:rFonts w:hint="eastAsia"/>
          <w:b/>
          <w:bCs/>
          <w:lang w:val="en-US" w:eastAsia="zh-CN"/>
        </w:rPr>
        <w:t>六、</w:t>
      </w:r>
      <w:r>
        <w:rPr>
          <w:b/>
          <w:bCs/>
        </w:rPr>
        <w:t>奉献社会</w:t>
      </w:r>
      <w:bookmarkEnd w:id="14"/>
    </w:p>
    <w:p>
      <w:pPr>
        <w:widowControl w:val="0"/>
        <w:numPr>
          <w:ilvl w:val="0"/>
          <w:numId w:val="0"/>
        </w:numPr>
        <w:autoSpaceDE w:val="0"/>
        <w:autoSpaceDN w:val="0"/>
      </w:pPr>
    </w:p>
    <w:p>
      <w:pPr>
        <w:pStyle w:val="4"/>
        <w:keepNext w:val="0"/>
        <w:keepLines w:val="0"/>
        <w:pageBreakBefore w:val="0"/>
        <w:kinsoku/>
        <w:wordWrap/>
        <w:overflowPunct/>
        <w:topLinePunct w:val="0"/>
        <w:autoSpaceDE w:val="0"/>
        <w:autoSpaceDN w:val="0"/>
        <w:bidi w:val="0"/>
        <w:spacing w:line="360" w:lineRule="auto"/>
        <w:ind w:left="0" w:right="0" w:firstLine="480" w:firstLineChars="200"/>
        <w:jc w:val="both"/>
        <w:textAlignment w:val="auto"/>
        <w:rPr>
          <w:szCs w:val="22"/>
        </w:rPr>
      </w:pPr>
      <w:r>
        <w:rPr>
          <w:rFonts w:hint="eastAsia"/>
          <w:szCs w:val="22"/>
        </w:rPr>
        <w:t>公司发展离不开社会各界的支持，同时公司对社会也应履行社会责任。公司领导十分重视公益支持，积极主动履行公共责任，回报社会。</w:t>
      </w:r>
    </w:p>
    <w:p>
      <w:pPr>
        <w:pStyle w:val="4"/>
        <w:keepNext w:val="0"/>
        <w:keepLines w:val="0"/>
        <w:pageBreakBefore w:val="0"/>
        <w:kinsoku/>
        <w:wordWrap/>
        <w:overflowPunct/>
        <w:topLinePunct w:val="0"/>
        <w:autoSpaceDE w:val="0"/>
        <w:autoSpaceDN w:val="0"/>
        <w:bidi w:val="0"/>
        <w:spacing w:line="360" w:lineRule="auto"/>
        <w:ind w:left="0" w:right="0" w:firstLine="480" w:firstLineChars="200"/>
        <w:jc w:val="both"/>
        <w:textAlignment w:val="auto"/>
        <w:rPr>
          <w:rFonts w:hint="eastAsia"/>
          <w:szCs w:val="22"/>
        </w:rPr>
      </w:pPr>
      <w:r>
        <w:rPr>
          <w:rFonts w:hint="eastAsia"/>
          <w:szCs w:val="22"/>
        </w:rPr>
        <w:t>结合公司的发展战略，在公司战略规划上，专门规划出部分资金用于的公益活动。公司领导以身作则积极参与社会的公益活动。</w:t>
      </w:r>
    </w:p>
    <w:p>
      <w:pPr>
        <w:pStyle w:val="4"/>
        <w:keepNext w:val="0"/>
        <w:keepLines w:val="0"/>
        <w:pageBreakBefore w:val="0"/>
        <w:kinsoku/>
        <w:wordWrap/>
        <w:overflowPunct/>
        <w:topLinePunct w:val="0"/>
        <w:autoSpaceDE w:val="0"/>
        <w:autoSpaceDN w:val="0"/>
        <w:bidi w:val="0"/>
        <w:spacing w:line="360" w:lineRule="auto"/>
        <w:ind w:left="0" w:right="0" w:firstLine="480" w:firstLineChars="200"/>
        <w:jc w:val="both"/>
        <w:textAlignment w:val="auto"/>
        <w:rPr>
          <w:rFonts w:hint="eastAsia"/>
          <w:szCs w:val="22"/>
        </w:rPr>
      </w:pPr>
    </w:p>
    <w:p>
      <w:pPr>
        <w:pStyle w:val="3"/>
        <w:keepNext w:val="0"/>
        <w:keepLines w:val="0"/>
        <w:pageBreakBefore w:val="0"/>
        <w:kinsoku/>
        <w:wordWrap/>
        <w:overflowPunct/>
        <w:topLinePunct w:val="0"/>
        <w:autoSpaceDE w:val="0"/>
        <w:autoSpaceDN w:val="0"/>
        <w:bidi w:val="0"/>
        <w:spacing w:line="360" w:lineRule="auto"/>
        <w:ind w:left="0" w:right="0" w:firstLine="562" w:firstLineChars="200"/>
        <w:jc w:val="both"/>
        <w:textAlignment w:val="auto"/>
        <w:rPr>
          <w:b/>
          <w:bCs/>
        </w:rPr>
      </w:pPr>
      <w:bookmarkStart w:id="15" w:name="八、合作伙伴"/>
      <w:bookmarkEnd w:id="15"/>
      <w:bookmarkStart w:id="16" w:name="_Toc24531712"/>
      <w:r>
        <w:rPr>
          <w:rFonts w:hint="eastAsia"/>
          <w:b/>
          <w:bCs/>
          <w:lang w:val="en-US" w:eastAsia="zh-CN"/>
        </w:rPr>
        <w:t>七</w:t>
      </w:r>
      <w:r>
        <w:rPr>
          <w:b/>
          <w:bCs/>
        </w:rPr>
        <w:t>、合作伙伴</w:t>
      </w:r>
      <w:bookmarkEnd w:id="16"/>
    </w:p>
    <w:p>
      <w:pPr>
        <w:pStyle w:val="4"/>
        <w:keepNext w:val="0"/>
        <w:keepLines w:val="0"/>
        <w:pageBreakBefore w:val="0"/>
        <w:kinsoku/>
        <w:wordWrap/>
        <w:overflowPunct/>
        <w:topLinePunct w:val="0"/>
        <w:autoSpaceDE w:val="0"/>
        <w:autoSpaceDN w:val="0"/>
        <w:bidi w:val="0"/>
        <w:spacing w:line="360" w:lineRule="auto"/>
        <w:ind w:left="0" w:right="0" w:firstLine="440" w:firstLineChars="200"/>
        <w:jc w:val="both"/>
        <w:textAlignment w:val="auto"/>
        <w:rPr>
          <w:sz w:val="22"/>
        </w:rPr>
      </w:pPr>
    </w:p>
    <w:p>
      <w:pPr>
        <w:pStyle w:val="4"/>
        <w:keepNext w:val="0"/>
        <w:keepLines w:val="0"/>
        <w:pageBreakBefore w:val="0"/>
        <w:kinsoku/>
        <w:wordWrap/>
        <w:overflowPunct/>
        <w:topLinePunct w:val="0"/>
        <w:autoSpaceDE w:val="0"/>
        <w:autoSpaceDN w:val="0"/>
        <w:bidi w:val="0"/>
        <w:spacing w:line="360" w:lineRule="auto"/>
        <w:ind w:left="0" w:right="0" w:firstLine="456" w:firstLineChars="200"/>
        <w:jc w:val="both"/>
        <w:textAlignment w:val="auto"/>
      </w:pPr>
      <w:r>
        <w:rPr>
          <w:spacing w:val="-6"/>
        </w:rPr>
        <w:t>每一个伙伴关系都有其独特的成功因素，这与公司独特的环境相关联。然而</w:t>
      </w:r>
      <w:r>
        <w:rPr>
          <w:spacing w:val="-7"/>
        </w:rPr>
        <w:t>在不同产业国家与市场中，每个成功企业的业绩后面，有三个共同的因素存在于</w:t>
      </w:r>
      <w:r>
        <w:rPr>
          <w:spacing w:val="-9"/>
        </w:rPr>
        <w:t>每个成功的伙伴关系中：贡献、亲密、远景。这三个因素是促使伙伴关系成功不</w:t>
      </w:r>
      <w:r>
        <w:t>可或缺的因素。</w:t>
      </w:r>
    </w:p>
    <w:p>
      <w:pPr>
        <w:pStyle w:val="14"/>
        <w:keepNext w:val="0"/>
        <w:keepLines w:val="0"/>
        <w:pageBreakBefore w:val="0"/>
        <w:numPr>
          <w:ilvl w:val="0"/>
          <w:numId w:val="0"/>
        </w:numPr>
        <w:tabs>
          <w:tab w:val="left" w:pos="540"/>
        </w:tabs>
        <w:kinsoku/>
        <w:wordWrap/>
        <w:overflowPunct/>
        <w:topLinePunct w:val="0"/>
        <w:autoSpaceDE w:val="0"/>
        <w:autoSpaceDN w:val="0"/>
        <w:bidi w:val="0"/>
        <w:spacing w:before="0" w:line="360" w:lineRule="auto"/>
        <w:ind w:leftChars="200" w:right="0" w:rightChars="0"/>
        <w:jc w:val="both"/>
        <w:textAlignment w:val="auto"/>
        <w:rPr>
          <w:sz w:val="24"/>
        </w:rPr>
      </w:pPr>
      <w:r>
        <w:rPr>
          <w:rFonts w:hint="eastAsia"/>
          <w:sz w:val="24"/>
          <w:lang w:val="en-US" w:eastAsia="zh-CN"/>
        </w:rPr>
        <w:t xml:space="preserve">7.1 </w:t>
      </w:r>
      <w:r>
        <w:rPr>
          <w:rFonts w:hint="eastAsia"/>
          <w:sz w:val="24"/>
        </w:rPr>
        <w:t>共享共赢</w:t>
      </w:r>
    </w:p>
    <w:p>
      <w:pPr>
        <w:pStyle w:val="4"/>
        <w:keepNext w:val="0"/>
        <w:keepLines w:val="0"/>
        <w:pageBreakBefore w:val="0"/>
        <w:kinsoku/>
        <w:wordWrap/>
        <w:overflowPunct/>
        <w:topLinePunct w:val="0"/>
        <w:autoSpaceDE w:val="0"/>
        <w:autoSpaceDN w:val="0"/>
        <w:bidi w:val="0"/>
        <w:spacing w:line="360" w:lineRule="auto"/>
        <w:ind w:left="0" w:right="0" w:firstLine="432" w:firstLineChars="200"/>
        <w:jc w:val="both"/>
        <w:textAlignment w:val="auto"/>
      </w:pPr>
      <w:r>
        <w:rPr>
          <w:spacing w:val="-12"/>
        </w:rPr>
        <w:t>公司早</w:t>
      </w:r>
      <w:r>
        <w:rPr>
          <w:spacing w:val="-15"/>
        </w:rPr>
        <w:t xml:space="preserve">年就推行供应商整合调整项目，即培养一批优秀的供应商， </w:t>
      </w:r>
      <w:r>
        <w:rPr>
          <w:spacing w:val="-5"/>
        </w:rPr>
        <w:t>合并或放弃一批零散繁杂的小供应商，使得供应商的积极性得到了充分发挥，公</w:t>
      </w:r>
      <w:r>
        <w:rPr>
          <w:spacing w:val="-10"/>
        </w:rPr>
        <w:t>司与供应商的关系不再是简单的买卖关系，而是一种共生共荣</w:t>
      </w:r>
      <w:r>
        <w:rPr>
          <w:rFonts w:hint="eastAsia"/>
          <w:spacing w:val="-10"/>
        </w:rPr>
        <w:t>，共享共赢</w:t>
      </w:r>
      <w:r>
        <w:rPr>
          <w:spacing w:val="-10"/>
        </w:rPr>
        <w:t>的战略合作伙伴关</w:t>
      </w:r>
      <w:r>
        <w:rPr>
          <w:spacing w:val="-13"/>
        </w:rPr>
        <w:t>系。目前，公司与</w:t>
      </w:r>
      <w:r>
        <w:rPr>
          <w:spacing w:val="-10"/>
        </w:rPr>
        <w:t>国</w:t>
      </w:r>
      <w:r>
        <w:rPr>
          <w:rFonts w:ascii="宋体" w:hAnsi="宋体" w:eastAsia="宋体" w:cs="宋体"/>
          <w:spacing w:val="-10"/>
        </w:rPr>
        <w:t>内</w:t>
      </w:r>
      <w:r>
        <w:rPr>
          <w:rFonts w:hint="eastAsia" w:ascii="宋体" w:hAnsi="宋体" w:eastAsia="宋体" w:cs="宋体"/>
          <w:spacing w:val="-10"/>
          <w:lang w:val="en-US" w:eastAsia="zh-CN"/>
        </w:rPr>
        <w:t>中国移动，中国电信</w:t>
      </w:r>
      <w:r>
        <w:rPr>
          <w:rFonts w:ascii="宋体" w:hAnsi="宋体" w:eastAsia="宋体" w:cs="宋体"/>
          <w:spacing w:val="-10"/>
        </w:rPr>
        <w:t>建立了良好</w:t>
      </w:r>
      <w:r>
        <w:rPr>
          <w:spacing w:val="-10"/>
        </w:rPr>
        <w:t>的合作关系。</w:t>
      </w:r>
    </w:p>
    <w:p>
      <w:pPr>
        <w:pStyle w:val="14"/>
        <w:keepNext w:val="0"/>
        <w:keepLines w:val="0"/>
        <w:pageBreakBefore w:val="0"/>
        <w:numPr>
          <w:ilvl w:val="0"/>
          <w:numId w:val="0"/>
        </w:numPr>
        <w:tabs>
          <w:tab w:val="left" w:pos="540"/>
        </w:tabs>
        <w:kinsoku/>
        <w:wordWrap/>
        <w:overflowPunct/>
        <w:topLinePunct w:val="0"/>
        <w:autoSpaceDE w:val="0"/>
        <w:autoSpaceDN w:val="0"/>
        <w:bidi w:val="0"/>
        <w:spacing w:before="0" w:line="360" w:lineRule="auto"/>
        <w:ind w:leftChars="200" w:right="0" w:rightChars="0"/>
        <w:jc w:val="both"/>
        <w:textAlignment w:val="auto"/>
        <w:rPr>
          <w:sz w:val="24"/>
        </w:rPr>
      </w:pPr>
      <w:r>
        <w:rPr>
          <w:rFonts w:hint="eastAsia"/>
          <w:sz w:val="24"/>
          <w:lang w:val="en-US" w:eastAsia="zh-CN"/>
        </w:rPr>
        <w:t xml:space="preserve">7.2 </w:t>
      </w:r>
      <w:r>
        <w:rPr>
          <w:sz w:val="24"/>
        </w:rPr>
        <w:t>杜绝商业贿赂</w:t>
      </w:r>
    </w:p>
    <w:p>
      <w:pPr>
        <w:pStyle w:val="4"/>
        <w:keepNext w:val="0"/>
        <w:keepLines w:val="0"/>
        <w:pageBreakBefore w:val="0"/>
        <w:kinsoku/>
        <w:wordWrap/>
        <w:overflowPunct/>
        <w:topLinePunct w:val="0"/>
        <w:autoSpaceDE w:val="0"/>
        <w:autoSpaceDN w:val="0"/>
        <w:bidi w:val="0"/>
        <w:spacing w:line="360" w:lineRule="auto"/>
        <w:ind w:left="0" w:right="0" w:firstLine="444" w:firstLineChars="200"/>
        <w:jc w:val="both"/>
        <w:textAlignment w:val="auto"/>
      </w:pPr>
      <w:r>
        <w:rPr>
          <w:spacing w:val="-9"/>
        </w:rPr>
        <w:t>随着公司的发展，供应商采购管理中的地位显得越来越重要。公司对供应商</w:t>
      </w:r>
      <w:r>
        <w:rPr>
          <w:spacing w:val="-10"/>
        </w:rPr>
        <w:t>的选择是在</w:t>
      </w:r>
      <w:r>
        <w:rPr>
          <w:rFonts w:cs="Arial"/>
          <w:color w:val="333333"/>
          <w:sz w:val="24"/>
          <w:szCs w:val="24"/>
        </w:rPr>
        <w:t>GB/T19001</w:t>
      </w:r>
      <w:r>
        <w:rPr>
          <w:rFonts w:hint="eastAsia" w:cs="Arial"/>
          <w:color w:val="333333"/>
          <w:sz w:val="24"/>
          <w:szCs w:val="24"/>
        </w:rPr>
        <w:t>-</w:t>
      </w:r>
      <w:r>
        <w:rPr>
          <w:rFonts w:cs="Arial"/>
          <w:color w:val="333333"/>
          <w:sz w:val="24"/>
          <w:szCs w:val="24"/>
        </w:rPr>
        <w:t>201</w:t>
      </w:r>
      <w:r>
        <w:rPr>
          <w:rFonts w:hint="eastAsia" w:cs="Arial"/>
          <w:color w:val="333333"/>
          <w:sz w:val="24"/>
          <w:szCs w:val="24"/>
        </w:rPr>
        <w:t>6</w:t>
      </w:r>
      <w:r>
        <w:rPr>
          <w:rFonts w:cs="Arial"/>
          <w:color w:val="333333"/>
          <w:sz w:val="24"/>
          <w:szCs w:val="24"/>
        </w:rPr>
        <w:t xml:space="preserve"> </w:t>
      </w:r>
      <w:r>
        <w:rPr>
          <w:rFonts w:hint="eastAsia" w:cs="Arial"/>
          <w:color w:val="333333"/>
          <w:sz w:val="24"/>
          <w:szCs w:val="24"/>
        </w:rPr>
        <w:t>和</w:t>
      </w:r>
      <w:r>
        <w:rPr>
          <w:rFonts w:cs="Arial"/>
          <w:color w:val="333333"/>
          <w:sz w:val="24"/>
          <w:szCs w:val="24"/>
        </w:rPr>
        <w:t>GB/T24001</w:t>
      </w:r>
      <w:r>
        <w:rPr>
          <w:rFonts w:hint="eastAsia" w:cs="Arial"/>
          <w:color w:val="333333"/>
          <w:sz w:val="24"/>
          <w:szCs w:val="24"/>
        </w:rPr>
        <w:t>-</w:t>
      </w:r>
      <w:r>
        <w:rPr>
          <w:rFonts w:cs="Arial"/>
          <w:color w:val="333333"/>
          <w:sz w:val="24"/>
          <w:szCs w:val="24"/>
        </w:rPr>
        <w:t>201</w:t>
      </w:r>
      <w:r>
        <w:rPr>
          <w:rFonts w:hint="eastAsia" w:cs="Arial"/>
          <w:color w:val="333333"/>
          <w:sz w:val="24"/>
          <w:szCs w:val="24"/>
        </w:rPr>
        <w:t>6、</w:t>
      </w:r>
      <w:r>
        <w:rPr>
          <w:rFonts w:hint="eastAsia" w:cs="Arial"/>
          <w:color w:val="333333"/>
          <w:sz w:val="24"/>
          <w:szCs w:val="24"/>
          <w:lang w:eastAsia="zh-CN"/>
        </w:rPr>
        <w:t>GB/T45001-2020</w:t>
      </w:r>
      <w:r>
        <w:rPr>
          <w:spacing w:val="-11"/>
        </w:rPr>
        <w:t>三大体系文件的原则下进行的</w:t>
      </w:r>
      <w:r>
        <w:t>。</w:t>
      </w:r>
      <w:bookmarkStart w:id="17" w:name="九、社会认可"/>
      <w:bookmarkEnd w:id="17"/>
    </w:p>
    <w:p>
      <w:pPr>
        <w:pStyle w:val="4"/>
        <w:keepNext w:val="0"/>
        <w:keepLines w:val="0"/>
        <w:pageBreakBefore w:val="0"/>
        <w:kinsoku/>
        <w:wordWrap/>
        <w:overflowPunct/>
        <w:topLinePunct w:val="0"/>
        <w:autoSpaceDE w:val="0"/>
        <w:autoSpaceDN w:val="0"/>
        <w:bidi w:val="0"/>
        <w:spacing w:line="360" w:lineRule="auto"/>
        <w:ind w:left="0" w:right="0" w:firstLine="480" w:firstLineChars="200"/>
        <w:jc w:val="both"/>
        <w:textAlignment w:val="auto"/>
      </w:pPr>
    </w:p>
    <w:p>
      <w:pPr>
        <w:pStyle w:val="3"/>
        <w:keepNext w:val="0"/>
        <w:keepLines w:val="0"/>
        <w:pageBreakBefore w:val="0"/>
        <w:kinsoku/>
        <w:wordWrap/>
        <w:overflowPunct/>
        <w:topLinePunct w:val="0"/>
        <w:autoSpaceDE w:val="0"/>
        <w:autoSpaceDN w:val="0"/>
        <w:bidi w:val="0"/>
        <w:spacing w:line="360" w:lineRule="auto"/>
        <w:ind w:left="0" w:right="0" w:firstLine="562" w:firstLineChars="200"/>
        <w:jc w:val="both"/>
        <w:textAlignment w:val="auto"/>
        <w:rPr>
          <w:b/>
          <w:bCs/>
        </w:rPr>
      </w:pPr>
      <w:bookmarkStart w:id="18" w:name="十、存在问题及改进"/>
      <w:bookmarkEnd w:id="18"/>
      <w:bookmarkStart w:id="19" w:name="_Toc24531713"/>
      <w:r>
        <w:rPr>
          <w:rFonts w:hint="eastAsia"/>
          <w:b/>
          <w:bCs/>
          <w:lang w:val="en-US" w:eastAsia="zh-CN"/>
        </w:rPr>
        <w:t>八</w:t>
      </w:r>
      <w:r>
        <w:rPr>
          <w:b/>
          <w:bCs/>
        </w:rPr>
        <w:t>、存在问题及改进</w:t>
      </w:r>
      <w:bookmarkEnd w:id="19"/>
    </w:p>
    <w:p>
      <w:pPr>
        <w:pStyle w:val="4"/>
        <w:keepNext w:val="0"/>
        <w:keepLines w:val="0"/>
        <w:pageBreakBefore w:val="0"/>
        <w:kinsoku/>
        <w:wordWrap/>
        <w:overflowPunct/>
        <w:topLinePunct w:val="0"/>
        <w:autoSpaceDE w:val="0"/>
        <w:autoSpaceDN w:val="0"/>
        <w:bidi w:val="0"/>
        <w:spacing w:line="360" w:lineRule="auto"/>
        <w:ind w:left="0" w:right="0" w:firstLine="440" w:firstLineChars="200"/>
        <w:jc w:val="both"/>
        <w:textAlignment w:val="auto"/>
        <w:rPr>
          <w:sz w:val="22"/>
        </w:rPr>
      </w:pPr>
    </w:p>
    <w:p>
      <w:pPr>
        <w:pStyle w:val="4"/>
        <w:keepNext w:val="0"/>
        <w:keepLines w:val="0"/>
        <w:pageBreakBefore w:val="0"/>
        <w:kinsoku/>
        <w:wordWrap/>
        <w:overflowPunct/>
        <w:topLinePunct w:val="0"/>
        <w:autoSpaceDE w:val="0"/>
        <w:autoSpaceDN w:val="0"/>
        <w:bidi w:val="0"/>
        <w:spacing w:line="360" w:lineRule="auto"/>
        <w:ind w:left="0" w:right="0" w:firstLine="480" w:firstLineChars="200"/>
        <w:jc w:val="both"/>
        <w:textAlignment w:val="auto"/>
      </w:pPr>
      <w:r>
        <w:t>公司在履行社会责任各方面做了大量的工作，但与相关规定仍存在差距。</w:t>
      </w:r>
      <w:r>
        <w:rPr>
          <w:rFonts w:hint="eastAsia"/>
          <w:lang w:eastAsia="zh-CN"/>
        </w:rPr>
        <w:t>2020</w:t>
      </w:r>
      <w:r>
        <w:t>年，经济下行压力增大，市场需求低迷，面对中国经济新常态下的发展，不得不面对</w:t>
      </w:r>
      <w:r>
        <w:rPr>
          <w:rFonts w:hint="eastAsia"/>
          <w:lang w:val="en-US" w:eastAsia="zh-CN"/>
        </w:rPr>
        <w:t>南腾</w:t>
      </w:r>
      <w:r>
        <w:t>转型发展中的不适应：一是规模和效益方面：</w:t>
      </w:r>
      <w:r>
        <w:rPr>
          <w:rFonts w:hint="eastAsia"/>
          <w:lang w:eastAsia="zh-CN"/>
        </w:rPr>
        <w:t>2020</w:t>
      </w:r>
      <w:r>
        <w:rPr>
          <w:spacing w:val="-20"/>
        </w:rPr>
        <w:t>年以</w:t>
      </w:r>
      <w:r>
        <w:rPr>
          <w:spacing w:val="-22"/>
        </w:rPr>
        <w:t>来，公司整体经济效益</w:t>
      </w:r>
      <w:r>
        <w:rPr>
          <w:rFonts w:hint="eastAsia"/>
          <w:spacing w:val="-22"/>
        </w:rPr>
        <w:t>增长趋势走低</w:t>
      </w:r>
      <w:r>
        <w:rPr>
          <w:spacing w:val="-22"/>
        </w:rPr>
        <w:t>，公司经营管理有待进一步完善。</w:t>
      </w:r>
      <w:r>
        <w:rPr>
          <w:spacing w:val="-7"/>
        </w:rPr>
        <w:t>二是人员结构和薪酬方面：人员结构优化结果与预期还有差距，薪酬结构和薪酬</w:t>
      </w:r>
      <w:r>
        <w:t>水平与规模和效益不匹配，有待进一步深化改革。三是国际化的竞争水平不高， 国际化战略刚见雏形、国际化市场资源配备不科学。四是商业模式传统并单一， 还未完全实现</w:t>
      </w:r>
      <w:r>
        <w:rPr>
          <w:rFonts w:hint="eastAsia"/>
        </w:rPr>
        <w:t>生产</w:t>
      </w:r>
      <w:r>
        <w:t>服务商转型。</w:t>
      </w:r>
    </w:p>
    <w:p>
      <w:pPr>
        <w:pStyle w:val="4"/>
        <w:spacing w:line="360" w:lineRule="auto"/>
        <w:ind w:firstLine="480" w:firstLineChars="200"/>
        <w:rPr>
          <w:rFonts w:hint="default" w:ascii="宋体" w:hAnsi="宋体" w:eastAsia="宋体" w:cs="宋体"/>
          <w:spacing w:val="-10"/>
          <w:highlight w:val="none"/>
          <w:lang w:val="en-US"/>
        </w:rPr>
      </w:pPr>
      <w:r>
        <w:t>未来三年，是我们 “雄鹰展翅翱翔”之年。公司将继续专注于</w:t>
      </w:r>
      <w:r>
        <w:rPr>
          <w:rFonts w:hint="eastAsia"/>
          <w:lang w:val="en-US" w:eastAsia="zh-CN"/>
        </w:rPr>
        <w:t>电气</w:t>
      </w:r>
      <w:r>
        <w:rPr>
          <w:spacing w:val="-9"/>
        </w:rPr>
        <w:t>的研发、生产和销售业务，瞄准</w:t>
      </w:r>
      <w:r>
        <w:rPr>
          <w:rFonts w:hint="eastAsia"/>
          <w:spacing w:val="-9"/>
          <w:lang w:val="en-US" w:eastAsia="zh-CN"/>
        </w:rPr>
        <w:t>国内</w:t>
      </w:r>
      <w:r>
        <w:rPr>
          <w:spacing w:val="-9"/>
        </w:rPr>
        <w:t>前沿技术，坚持以实业经营为根本，以资</w:t>
      </w:r>
      <w:r>
        <w:rPr>
          <w:spacing w:val="-10"/>
        </w:rPr>
        <w:t>本运作为手段，二者循环促进，推动公司成为</w:t>
      </w:r>
      <w:r>
        <w:rPr>
          <w:rFonts w:hint="eastAsia"/>
          <w:spacing w:val="-10"/>
          <w:lang w:val="en-US" w:eastAsia="zh-CN"/>
        </w:rPr>
        <w:t>电气</w:t>
      </w:r>
      <w:r>
        <w:rPr>
          <w:spacing w:val="-10"/>
          <w:highlight w:val="none"/>
        </w:rPr>
        <w:t xml:space="preserve">的创新者和领导者， </w:t>
      </w:r>
      <w:r>
        <w:rPr>
          <w:rFonts w:hint="eastAsia"/>
          <w:spacing w:val="-10"/>
          <w:highlight w:val="none"/>
        </w:rPr>
        <w:t>贯</w:t>
      </w:r>
      <w:r>
        <w:rPr>
          <w:rFonts w:hint="eastAsia" w:ascii="宋体" w:hAnsi="宋体" w:eastAsia="宋体" w:cs="宋体"/>
          <w:spacing w:val="-10"/>
          <w:highlight w:val="none"/>
        </w:rPr>
        <w:t>彻“</w:t>
      </w:r>
      <w:r>
        <w:rPr>
          <w:rFonts w:hint="eastAsia" w:cs="宋体"/>
          <w:spacing w:val="-10"/>
          <w:highlight w:val="none"/>
          <w:lang w:val="en-US" w:eastAsia="zh-CN"/>
        </w:rPr>
        <w:t>以人为本、鼓励创新</w:t>
      </w:r>
      <w:r>
        <w:rPr>
          <w:rFonts w:hint="eastAsia" w:ascii="宋体" w:hAnsi="宋体" w:eastAsia="宋体" w:cs="宋体"/>
          <w:spacing w:val="-10"/>
          <w:highlight w:val="none"/>
        </w:rPr>
        <w:t>”的经营理念，最终实现 “</w:t>
      </w:r>
      <w:r>
        <w:rPr>
          <w:rFonts w:hint="eastAsia" w:cs="宋体"/>
          <w:spacing w:val="-10"/>
          <w:highlight w:val="none"/>
          <w:lang w:val="en-US" w:eastAsia="zh-CN"/>
        </w:rPr>
        <w:t>共创百年企业</w:t>
      </w:r>
      <w:r>
        <w:rPr>
          <w:rFonts w:hint="eastAsia" w:ascii="宋体" w:hAnsi="宋体" w:eastAsia="宋体" w:cs="宋体"/>
          <w:spacing w:val="-10"/>
          <w:highlight w:val="none"/>
          <w:lang w:eastAsia="zh-CN"/>
        </w:rPr>
        <w:t>”</w:t>
      </w:r>
      <w:r>
        <w:rPr>
          <w:rFonts w:hint="eastAsia" w:ascii="宋体" w:hAnsi="宋体" w:eastAsia="宋体" w:cs="宋体"/>
          <w:spacing w:val="-10"/>
          <w:highlight w:val="none"/>
          <w:lang w:val="en-US" w:eastAsia="zh-CN"/>
        </w:rPr>
        <w:t>的公司愿景。</w:t>
      </w:r>
    </w:p>
    <w:p>
      <w:pPr>
        <w:pStyle w:val="4"/>
        <w:keepNext w:val="0"/>
        <w:keepLines w:val="0"/>
        <w:pageBreakBefore w:val="0"/>
        <w:kinsoku/>
        <w:wordWrap/>
        <w:overflowPunct/>
        <w:topLinePunct w:val="0"/>
        <w:autoSpaceDE w:val="0"/>
        <w:autoSpaceDN w:val="0"/>
        <w:bidi w:val="0"/>
        <w:spacing w:line="360" w:lineRule="auto"/>
        <w:ind w:left="0" w:right="0" w:firstLine="436" w:firstLineChars="200"/>
        <w:jc w:val="both"/>
        <w:textAlignment w:val="auto"/>
        <w:rPr>
          <w:spacing w:val="-11"/>
        </w:rPr>
      </w:pPr>
      <w:r>
        <w:rPr>
          <w:rFonts w:hint="eastAsia"/>
          <w:spacing w:val="-11"/>
        </w:rPr>
        <w:t>明确了发展战略为：</w:t>
      </w:r>
    </w:p>
    <w:p>
      <w:pPr>
        <w:pStyle w:val="4"/>
        <w:keepNext w:val="0"/>
        <w:keepLines w:val="0"/>
        <w:pageBreakBefore w:val="0"/>
        <w:kinsoku/>
        <w:wordWrap/>
        <w:overflowPunct/>
        <w:topLinePunct w:val="0"/>
        <w:autoSpaceDE w:val="0"/>
        <w:autoSpaceDN w:val="0"/>
        <w:bidi w:val="0"/>
        <w:spacing w:line="360" w:lineRule="auto"/>
        <w:ind w:left="0" w:right="0" w:firstLine="480" w:firstLineChars="200"/>
        <w:jc w:val="both"/>
        <w:textAlignment w:val="auto"/>
        <w:rPr>
          <w:rFonts w:hint="eastAsia" w:ascii="宋体" w:hAnsi="宋体" w:cs="宋体"/>
          <w:szCs w:val="21"/>
          <w:highlight w:val="none"/>
        </w:rPr>
      </w:pPr>
      <w:r>
        <w:rPr>
          <w:rFonts w:hint="eastAsia" w:ascii="宋体" w:hAnsi="宋体" w:cs="宋体"/>
          <w:szCs w:val="21"/>
          <w:highlight w:val="none"/>
        </w:rPr>
        <w:t>至202</w:t>
      </w:r>
      <w:r>
        <w:rPr>
          <w:rFonts w:hint="eastAsia" w:cs="宋体"/>
          <w:szCs w:val="21"/>
          <w:highlight w:val="none"/>
          <w:lang w:val="en-US" w:eastAsia="zh-CN"/>
        </w:rPr>
        <w:t>5</w:t>
      </w:r>
      <w:r>
        <w:rPr>
          <w:rFonts w:hint="eastAsia" w:ascii="宋体" w:hAnsi="宋体" w:cs="宋体"/>
          <w:szCs w:val="21"/>
          <w:highlight w:val="none"/>
        </w:rPr>
        <w:t>年，</w:t>
      </w:r>
      <w:r>
        <w:rPr>
          <w:rFonts w:hint="eastAsia" w:ascii="宋体" w:hAnsi="宋体" w:cs="宋体"/>
          <w:szCs w:val="21"/>
          <w:highlight w:val="none"/>
          <w:lang w:val="en-US" w:eastAsia="zh-CN"/>
        </w:rPr>
        <w:t>成为</w:t>
      </w:r>
      <w:r>
        <w:rPr>
          <w:rFonts w:hint="eastAsia" w:cs="宋体"/>
          <w:szCs w:val="21"/>
          <w:highlight w:val="none"/>
          <w:lang w:val="en-US" w:eastAsia="zh-CN"/>
        </w:rPr>
        <w:t>浙</w:t>
      </w:r>
      <w:r>
        <w:rPr>
          <w:rFonts w:hint="eastAsia" w:ascii="宋体" w:hAnsi="宋体" w:eastAsia="宋体" w:cs="宋体"/>
          <w:szCs w:val="21"/>
          <w:highlight w:val="none"/>
          <w:lang w:val="en-US" w:eastAsia="zh-CN"/>
        </w:rPr>
        <w:t>江省内</w:t>
      </w:r>
      <w:r>
        <w:rPr>
          <w:rFonts w:hint="eastAsia" w:cs="宋体"/>
          <w:szCs w:val="21"/>
          <w:highlight w:val="none"/>
          <w:lang w:val="en-US" w:eastAsia="zh-CN"/>
        </w:rPr>
        <w:t>低高压电气</w:t>
      </w:r>
      <w:r>
        <w:rPr>
          <w:rFonts w:hint="eastAsia" w:ascii="宋体" w:hAnsi="宋体" w:eastAsia="宋体" w:cs="宋体"/>
          <w:szCs w:val="21"/>
          <w:highlight w:val="none"/>
          <w:lang w:val="en-US" w:eastAsia="zh-CN"/>
        </w:rPr>
        <w:t>采购的首选供</w:t>
      </w:r>
      <w:r>
        <w:rPr>
          <w:rFonts w:hint="eastAsia" w:ascii="宋体" w:hAnsi="宋体" w:cs="宋体"/>
          <w:szCs w:val="21"/>
          <w:highlight w:val="none"/>
          <w:lang w:val="en-US" w:eastAsia="zh-CN"/>
        </w:rPr>
        <w:t>应商</w:t>
      </w:r>
      <w:r>
        <w:rPr>
          <w:rFonts w:hint="eastAsia" w:ascii="宋体" w:hAnsi="宋体" w:cs="宋体"/>
          <w:szCs w:val="21"/>
          <w:highlight w:val="none"/>
        </w:rPr>
        <w:t>。</w:t>
      </w:r>
    </w:p>
    <w:p>
      <w:pPr>
        <w:pStyle w:val="4"/>
        <w:keepNext w:val="0"/>
        <w:keepLines w:val="0"/>
        <w:pageBreakBefore w:val="0"/>
        <w:kinsoku/>
        <w:wordWrap/>
        <w:overflowPunct/>
        <w:topLinePunct w:val="0"/>
        <w:autoSpaceDE w:val="0"/>
        <w:autoSpaceDN w:val="0"/>
        <w:bidi w:val="0"/>
        <w:spacing w:line="360" w:lineRule="auto"/>
        <w:ind w:left="0" w:right="0" w:firstLine="480" w:firstLineChars="200"/>
        <w:jc w:val="both"/>
        <w:textAlignment w:val="auto"/>
        <w:rPr>
          <w:rFonts w:hint="eastAsia" w:ascii="宋体" w:hAnsi="宋体" w:cs="宋体"/>
          <w:szCs w:val="21"/>
          <w:highlight w:val="none"/>
        </w:rPr>
      </w:pPr>
      <w:r>
        <w:rPr>
          <w:rFonts w:hint="eastAsia" w:cs="宋体"/>
          <w:szCs w:val="21"/>
          <w:highlight w:val="none"/>
          <w:lang w:eastAsia="zh-CN"/>
        </w:rPr>
        <w:t>南腾</w:t>
      </w:r>
      <w:r>
        <w:rPr>
          <w:rFonts w:hint="eastAsia" w:ascii="宋体" w:hAnsi="宋体" w:cs="宋体"/>
          <w:szCs w:val="21"/>
          <w:highlight w:val="none"/>
        </w:rPr>
        <w:t>所在的</w:t>
      </w:r>
      <w:r>
        <w:rPr>
          <w:rFonts w:hint="eastAsia" w:cs="宋体"/>
          <w:szCs w:val="21"/>
          <w:highlight w:val="none"/>
          <w:lang w:val="en-US" w:eastAsia="zh-CN"/>
        </w:rPr>
        <w:t>电气</w:t>
      </w:r>
      <w:r>
        <w:rPr>
          <w:rFonts w:hint="eastAsia" w:ascii="宋体" w:hAnsi="宋体" w:cs="宋体"/>
          <w:szCs w:val="21"/>
          <w:highlight w:val="none"/>
          <w:lang w:val="en-US" w:eastAsia="zh-CN"/>
        </w:rPr>
        <w:t>类</w:t>
      </w:r>
      <w:r>
        <w:rPr>
          <w:rFonts w:hint="eastAsia" w:ascii="宋体" w:hAnsi="宋体" w:cs="宋体"/>
          <w:szCs w:val="21"/>
          <w:highlight w:val="none"/>
        </w:rPr>
        <w:t>领域，市场潜力巨大，已形成如</w:t>
      </w:r>
      <w:r>
        <w:rPr>
          <w:rFonts w:hint="eastAsia" w:cs="宋体"/>
          <w:szCs w:val="21"/>
          <w:highlight w:val="none"/>
          <w:lang w:val="en-US" w:eastAsia="zh-CN"/>
        </w:rPr>
        <w:t>南腾</w:t>
      </w:r>
      <w:r>
        <w:rPr>
          <w:rFonts w:hint="eastAsia" w:ascii="宋体" w:hAnsi="宋体" w:cs="宋体"/>
          <w:szCs w:val="21"/>
          <w:highlight w:val="none"/>
        </w:rPr>
        <w:t>品牌形成稳定的认知，同时面临着激烈的市场竞争。为此，</w:t>
      </w:r>
      <w:r>
        <w:rPr>
          <w:rFonts w:hint="eastAsia" w:cs="宋体"/>
          <w:szCs w:val="21"/>
          <w:highlight w:val="none"/>
          <w:lang w:eastAsia="zh-CN"/>
        </w:rPr>
        <w:t>南腾</w:t>
      </w:r>
      <w:r>
        <w:rPr>
          <w:rFonts w:hint="eastAsia" w:ascii="宋体" w:hAnsi="宋体" w:cs="宋体"/>
          <w:szCs w:val="21"/>
          <w:highlight w:val="none"/>
        </w:rPr>
        <w:t>的应对策略就是：专业化与差异化，即：</w:t>
      </w:r>
    </w:p>
    <w:p>
      <w:pPr>
        <w:pStyle w:val="4"/>
        <w:keepNext w:val="0"/>
        <w:keepLines w:val="0"/>
        <w:pageBreakBefore w:val="0"/>
        <w:kinsoku/>
        <w:wordWrap/>
        <w:overflowPunct/>
        <w:topLinePunct w:val="0"/>
        <w:autoSpaceDE w:val="0"/>
        <w:autoSpaceDN w:val="0"/>
        <w:bidi w:val="0"/>
        <w:spacing w:line="360" w:lineRule="auto"/>
        <w:ind w:left="0" w:right="0" w:firstLine="480" w:firstLineChars="200"/>
        <w:jc w:val="both"/>
        <w:textAlignment w:val="auto"/>
        <w:rPr>
          <w:rFonts w:hint="eastAsia" w:ascii="宋体" w:hAnsi="宋体" w:cs="宋体"/>
          <w:szCs w:val="21"/>
          <w:highlight w:val="none"/>
        </w:rPr>
      </w:pPr>
      <w:r>
        <w:rPr>
          <w:rFonts w:hint="eastAsia" w:ascii="宋体" w:hAnsi="宋体" w:cs="宋体"/>
          <w:szCs w:val="21"/>
          <w:highlight w:val="none"/>
        </w:rPr>
        <w:t>1)追求产品核心价值的差异化、低成本与高性价比；</w:t>
      </w:r>
    </w:p>
    <w:p>
      <w:pPr>
        <w:pStyle w:val="4"/>
        <w:keepNext w:val="0"/>
        <w:keepLines w:val="0"/>
        <w:pageBreakBefore w:val="0"/>
        <w:kinsoku/>
        <w:wordWrap/>
        <w:overflowPunct/>
        <w:topLinePunct w:val="0"/>
        <w:autoSpaceDE w:val="0"/>
        <w:autoSpaceDN w:val="0"/>
        <w:bidi w:val="0"/>
        <w:spacing w:line="360" w:lineRule="auto"/>
        <w:ind w:left="0" w:right="0" w:firstLine="480" w:firstLineChars="200"/>
        <w:jc w:val="both"/>
        <w:textAlignment w:val="auto"/>
        <w:rPr>
          <w:rFonts w:hint="eastAsia" w:ascii="宋体" w:hAnsi="宋体" w:cs="宋体"/>
          <w:szCs w:val="21"/>
          <w:highlight w:val="none"/>
        </w:rPr>
      </w:pPr>
      <w:r>
        <w:rPr>
          <w:rFonts w:hint="eastAsia" w:ascii="宋体" w:hAnsi="宋体" w:cs="宋体"/>
          <w:szCs w:val="21"/>
          <w:highlight w:val="none"/>
        </w:rPr>
        <w:t>2)以专业化品牌对冲行业的多元化大品牌。</w:t>
      </w:r>
    </w:p>
    <w:p>
      <w:pPr>
        <w:pStyle w:val="4"/>
        <w:keepNext w:val="0"/>
        <w:keepLines w:val="0"/>
        <w:pageBreakBefore w:val="0"/>
        <w:kinsoku/>
        <w:wordWrap/>
        <w:overflowPunct/>
        <w:topLinePunct w:val="0"/>
        <w:autoSpaceDE w:val="0"/>
        <w:autoSpaceDN w:val="0"/>
        <w:bidi w:val="0"/>
        <w:spacing w:line="360" w:lineRule="auto"/>
        <w:ind w:left="0" w:right="0" w:firstLine="480" w:firstLineChars="200"/>
        <w:jc w:val="both"/>
        <w:textAlignment w:val="auto"/>
        <w:rPr>
          <w:spacing w:val="-11"/>
        </w:rPr>
      </w:pPr>
      <w:r>
        <w:rPr>
          <w:rFonts w:hint="eastAsia" w:ascii="宋体" w:hAnsi="宋体" w:cs="宋体"/>
          <w:szCs w:val="21"/>
          <w:highlight w:val="none"/>
        </w:rPr>
        <w:t>我们期望未来的</w:t>
      </w:r>
      <w:r>
        <w:rPr>
          <w:rFonts w:hint="eastAsia" w:cs="宋体"/>
          <w:szCs w:val="21"/>
          <w:highlight w:val="none"/>
          <w:lang w:eastAsia="zh-CN"/>
        </w:rPr>
        <w:t>南腾</w:t>
      </w:r>
      <w:r>
        <w:rPr>
          <w:rFonts w:hint="eastAsia" w:ascii="宋体" w:hAnsi="宋体" w:cs="宋体"/>
          <w:szCs w:val="21"/>
          <w:highlight w:val="none"/>
        </w:rPr>
        <w:t>是一个以专业著称的品牌，专注于</w:t>
      </w:r>
      <w:r>
        <w:rPr>
          <w:rFonts w:hint="eastAsia" w:cs="宋体"/>
          <w:szCs w:val="21"/>
          <w:highlight w:val="none"/>
          <w:lang w:val="en-US" w:eastAsia="zh-CN"/>
        </w:rPr>
        <w:t>电气</w:t>
      </w:r>
      <w:r>
        <w:rPr>
          <w:rFonts w:hint="eastAsia" w:ascii="宋体" w:hAnsi="宋体" w:cs="宋体"/>
          <w:szCs w:val="21"/>
          <w:highlight w:val="none"/>
          <w:lang w:val="en-US" w:eastAsia="zh-CN"/>
        </w:rPr>
        <w:t>类供应</w:t>
      </w:r>
      <w:r>
        <w:rPr>
          <w:rFonts w:hint="eastAsia" w:ascii="宋体" w:hAnsi="宋体" w:cs="宋体"/>
          <w:szCs w:val="21"/>
          <w:highlight w:val="none"/>
        </w:rPr>
        <w:t>。</w:t>
      </w:r>
    </w:p>
    <w:p>
      <w:pPr>
        <w:pStyle w:val="4"/>
        <w:keepNext w:val="0"/>
        <w:keepLines w:val="0"/>
        <w:pageBreakBefore w:val="0"/>
        <w:kinsoku/>
        <w:wordWrap/>
        <w:overflowPunct/>
        <w:topLinePunct w:val="0"/>
        <w:autoSpaceDE w:val="0"/>
        <w:autoSpaceDN w:val="0"/>
        <w:bidi w:val="0"/>
        <w:spacing w:line="360" w:lineRule="auto"/>
        <w:ind w:left="0" w:right="0" w:firstLine="440" w:firstLineChars="200"/>
        <w:jc w:val="both"/>
        <w:textAlignment w:val="auto"/>
      </w:pPr>
      <w:r>
        <w:rPr>
          <w:spacing w:val="-10"/>
        </w:rPr>
        <w:t>总之，在国家发展规划的引领下、在市政府的大力支持下，通过努力，相信</w:t>
      </w:r>
      <w:r>
        <w:rPr>
          <w:rFonts w:hint="eastAsia"/>
          <w:spacing w:val="-7"/>
          <w:lang w:eastAsia="zh-CN"/>
        </w:rPr>
        <w:t>南腾</w:t>
      </w:r>
      <w:r>
        <w:rPr>
          <w:spacing w:val="-7"/>
        </w:rPr>
        <w:t>未来三年规划会顺利实现，为</w:t>
      </w:r>
      <w:r>
        <w:rPr>
          <w:rFonts w:hint="eastAsia"/>
          <w:spacing w:val="-7"/>
          <w:lang w:val="en-US" w:eastAsia="zh-CN"/>
        </w:rPr>
        <w:t>乐清</w:t>
      </w:r>
      <w:r>
        <w:rPr>
          <w:spacing w:val="-7"/>
        </w:rPr>
        <w:t>经济的繁荣发展献上一己之力！最终</w:t>
      </w:r>
      <w:r>
        <w:t>造福员工、造福社会。</w:t>
      </w:r>
    </w:p>
    <w:sectPr>
      <w:pgSz w:w="11910" w:h="16840"/>
      <w:pgMar w:top="1420" w:right="1440" w:bottom="1380" w:left="1680" w:header="877" w:footer="1197" w:gutter="0"/>
      <w:pgBorders>
        <w:top w:val="none" w:sz="0" w:space="0"/>
        <w:left w:val="none" w:sz="0" w:space="0"/>
        <w:bottom w:val="none" w:sz="0" w:space="0"/>
        <w:right w:val="none" w:sz="0" w:space="0"/>
      </w:pgBorders>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roman"/>
    <w:pitch w:val="default"/>
    <w:sig w:usb0="E0002EFF" w:usb1="C000785B" w:usb2="00000009" w:usb3="00000000" w:csb0="400001FF" w:csb1="FFFF0000"/>
  </w:font>
  <w:font w:name="宋体">
    <w:panose1 w:val="02010600030101010101"/>
    <w:charset w:val="34"/>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楷体">
    <w:panose1 w:val="02010609060101010101"/>
    <w:charset w:val="86"/>
    <w:family w:val="modern"/>
    <w:pitch w:val="default"/>
    <w:sig w:usb0="800002BF" w:usb1="38CF7CFA" w:usb2="00000016" w:usb3="00000000" w:csb0="00040001" w:csb1="00000000"/>
  </w:font>
  <w:font w:name="微软雅黑">
    <w:panose1 w:val="020B0503020204020204"/>
    <w:charset w:val="86"/>
    <w:family w:val="swiss"/>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spacing w:line="14" w:lineRule="auto"/>
      <w:ind w:left="0"/>
      <w:rPr>
        <w:sz w:val="20"/>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200" w:lineRule="exact"/>
      <w:rPr>
        <w:sz w:val="20"/>
        <w:szCs w:val="20"/>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200" w:lineRule="exact"/>
      <w:rPr>
        <w:sz w:val="20"/>
        <w:szCs w:val="20"/>
      </w:rPr>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ge">
                <wp:posOffset>9930765</wp:posOffset>
              </wp:positionV>
              <wp:extent cx="298450" cy="150495"/>
              <wp:effectExtent l="0" t="0" r="0" b="0"/>
              <wp:wrapNone/>
              <wp:docPr id="5" name="文本框 8"/>
              <wp:cNvGraphicFramePr/>
              <a:graphic xmlns:a="http://schemas.openxmlformats.org/drawingml/2006/main">
                <a:graphicData uri="http://schemas.microsoft.com/office/word/2010/wordprocessingShape">
                  <wps:wsp>
                    <wps:cNvSpPr txBox="1"/>
                    <wps:spPr>
                      <a:xfrm>
                        <a:off x="0" y="0"/>
                        <a:ext cx="298450" cy="150495"/>
                      </a:xfrm>
                      <a:prstGeom prst="rect">
                        <a:avLst/>
                      </a:prstGeom>
                      <a:noFill/>
                      <a:ln>
                        <a:noFill/>
                      </a:ln>
                    </wps:spPr>
                    <wps:txbx>
                      <w:txbxContent>
                        <w:p>
                          <w:pPr>
                            <w:spacing w:line="204" w:lineRule="exact"/>
                            <w:ind w:left="40"/>
                            <w:rPr>
                              <w:rFonts w:ascii="Times New Roman" w:hAnsi="Times New Roman"/>
                              <w:sz w:val="18"/>
                              <w:szCs w:val="18"/>
                            </w:rPr>
                          </w:pPr>
                          <w:r>
                            <w:rPr>
                              <w:rFonts w:ascii="Times New Roman" w:hAnsi="Times New Roman"/>
                              <w:sz w:val="18"/>
                              <w:szCs w:val="18"/>
                            </w:rPr>
                            <w:fldChar w:fldCharType="begin"/>
                          </w:r>
                          <w:r>
                            <w:rPr>
                              <w:rFonts w:ascii="Times New Roman" w:hAnsi="Times New Roman"/>
                              <w:sz w:val="18"/>
                              <w:szCs w:val="18"/>
                            </w:rPr>
                            <w:instrText xml:space="preserve"> PAGE </w:instrText>
                          </w:r>
                          <w:r>
                            <w:rPr>
                              <w:rFonts w:ascii="Times New Roman" w:hAnsi="Times New Roman"/>
                              <w:sz w:val="18"/>
                              <w:szCs w:val="18"/>
                            </w:rPr>
                            <w:fldChar w:fldCharType="separate"/>
                          </w:r>
                          <w:r>
                            <w:rPr>
                              <w:rFonts w:ascii="Times New Roman" w:hAnsi="Times New Roman"/>
                              <w:sz w:val="18"/>
                              <w:szCs w:val="18"/>
                            </w:rPr>
                            <w:t>3</w:t>
                          </w:r>
                          <w:r>
                            <w:rPr>
                              <w:rFonts w:ascii="Times New Roman" w:hAnsi="Times New Roman"/>
                              <w:sz w:val="18"/>
                              <w:szCs w:val="18"/>
                            </w:rPr>
                            <w:fldChar w:fldCharType="end"/>
                          </w:r>
                        </w:p>
                      </w:txbxContent>
                    </wps:txbx>
                    <wps:bodyPr lIns="0" tIns="0" rIns="0" bIns="0" upright="1"/>
                  </wps:wsp>
                </a:graphicData>
              </a:graphic>
            </wp:anchor>
          </w:drawing>
        </mc:Choice>
        <mc:Fallback>
          <w:pict>
            <v:shape id="文本框 8" o:spid="_x0000_s1026" o:spt="202" type="#_x0000_t202" style="position:absolute;left:0pt;margin-top:781.95pt;height:11.85pt;width:23.5pt;mso-position-horizontal:center;mso-position-horizontal-relative:margin;mso-position-vertical-relative:page;z-index:251660288;mso-width-relative:page;mso-height-relative:page;" filled="f" stroked="f" coordsize="21600,21600" o:gfxdata="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">
              <v:fill on="f" focussize="0,0"/>
              <v:stroke on="f"/>
              <v:imagedata o:title=""/>
              <o:lock v:ext="edit" aspectratio="f"/>
              <v:textbox inset="0mm,0mm,0mm,0mm">
                <w:txbxContent>
                  <w:p>
                    <w:pPr>
                      <w:spacing w:line="204" w:lineRule="exact"/>
                      <w:ind w:left="40"/>
                      <w:rPr>
                        <w:rFonts w:ascii="Times New Roman" w:hAnsi="Times New Roman"/>
                        <w:sz w:val="18"/>
                        <w:szCs w:val="18"/>
                      </w:rPr>
                    </w:pPr>
                    <w:r>
                      <w:rPr>
                        <w:rFonts w:ascii="Times New Roman" w:hAnsi="Times New Roman"/>
                        <w:sz w:val="18"/>
                        <w:szCs w:val="18"/>
                      </w:rPr>
                      <w:fldChar w:fldCharType="begin"/>
                    </w:r>
                    <w:r>
                      <w:rPr>
                        <w:rFonts w:ascii="Times New Roman" w:hAnsi="Times New Roman"/>
                        <w:sz w:val="18"/>
                        <w:szCs w:val="18"/>
                      </w:rPr>
                      <w:instrText xml:space="preserve"> PAGE </w:instrText>
                    </w:r>
                    <w:r>
                      <w:rPr>
                        <w:rFonts w:ascii="Times New Roman" w:hAnsi="Times New Roman"/>
                        <w:sz w:val="18"/>
                        <w:szCs w:val="18"/>
                      </w:rPr>
                      <w:fldChar w:fldCharType="separate"/>
                    </w:r>
                    <w:r>
                      <w:rPr>
                        <w:rFonts w:ascii="Times New Roman" w:hAnsi="Times New Roman"/>
                        <w:sz w:val="18"/>
                        <w:szCs w:val="18"/>
                      </w:rPr>
                      <w:t>3</w:t>
                    </w:r>
                    <w:r>
                      <w:rPr>
                        <w:rFonts w:ascii="Times New Roman" w:hAnsi="Times New Roman"/>
                        <w:sz w:val="18"/>
                        <w:szCs w:val="18"/>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jc w:val="left"/>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before="100" w:beforeAutospacing="1" w:after="100" w:afterAutospacing="1"/>
      <w:ind w:right="198"/>
      <w:jc w:val="right"/>
      <w:rPr>
        <w:sz w:val="20"/>
        <w:szCs w:val="20"/>
      </w:rPr>
    </w:pPr>
    <w:r>
      <w:rPr>
        <w:sz w:val="20"/>
        <w:szCs w:val="20"/>
      </w:rPr>
      <mc:AlternateContent>
        <mc:Choice Requires="wpg">
          <w:drawing>
            <wp:anchor distT="0" distB="0" distL="114300" distR="114300" simplePos="0" relativeHeight="251659264" behindDoc="1" locked="0" layoutInCell="1" allowOverlap="1">
              <wp:simplePos x="0" y="0"/>
              <wp:positionH relativeFrom="page">
                <wp:posOffset>899160</wp:posOffset>
              </wp:positionH>
              <wp:positionV relativeFrom="paragraph">
                <wp:posOffset>271145</wp:posOffset>
              </wp:positionV>
              <wp:extent cx="5888355" cy="1270"/>
              <wp:effectExtent l="0" t="0" r="0" b="0"/>
              <wp:wrapNone/>
              <wp:docPr id="4" name="组合 5"/>
              <wp:cNvGraphicFramePr/>
              <a:graphic xmlns:a="http://schemas.openxmlformats.org/drawingml/2006/main">
                <a:graphicData uri="http://schemas.microsoft.com/office/word/2010/wordprocessingGroup">
                  <wpg:wgp>
                    <wpg:cNvGrpSpPr/>
                    <wpg:grpSpPr>
                      <a:xfrm>
                        <a:off x="0" y="0"/>
                        <a:ext cx="5888355" cy="1270"/>
                        <a:chOff x="1416" y="-308"/>
                        <a:chExt cx="9273" cy="2203"/>
                      </a:xfrm>
                    </wpg:grpSpPr>
                    <wps:wsp>
                      <wps:cNvPr id="3" name="任意多边形 6"/>
                      <wps:cNvSpPr/>
                      <wps:spPr>
                        <a:xfrm>
                          <a:off x="1416" y="-308"/>
                          <a:ext cx="9273" cy="2"/>
                        </a:xfrm>
                        <a:custGeom>
                          <a:avLst/>
                          <a:gdLst/>
                          <a:ahLst/>
                          <a:cxnLst/>
                          <a:pathLst>
                            <a:path w="9273">
                              <a:moveTo>
                                <a:pt x="0" y="0"/>
                              </a:moveTo>
                              <a:lnTo>
                                <a:pt x="9273" y="0"/>
                              </a:lnTo>
                            </a:path>
                          </a:pathLst>
                        </a:custGeom>
                        <a:noFill/>
                        <a:ln w="7366" cap="flat" cmpd="sng">
                          <a:solidFill>
                            <a:srgbClr val="000000"/>
                          </a:solidFill>
                          <a:prstDash val="solid"/>
                          <a:headEnd type="none" w="med" len="med"/>
                          <a:tailEnd type="none" w="med" len="med"/>
                        </a:ln>
                      </wps:spPr>
                      <wps:bodyPr upright="1"/>
                    </wps:wsp>
                  </wpg:wgp>
                </a:graphicData>
              </a:graphic>
            </wp:anchor>
          </w:drawing>
        </mc:Choice>
        <mc:Fallback>
          <w:pict>
            <v:group id="组合 5" o:spid="_x0000_s1026" o:spt="203" style="position:absolute;left:0pt;margin-left:70.8pt;margin-top:21.35pt;height:0.1pt;width:463.65pt;mso-position-horizontal-relative:page;z-index:-251657216;mso-width-relative:page;mso-height-relative:page;" coordorigin="1416,-308" coordsize="9273,2203" o:gfxdata="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">
              <o:lock v:ext="edit" aspectratio="f"/>
              <v:shape id="任意多边形 6" o:spid="_x0000_s1026" o:spt="100" style="position:absolute;left:1416;top:-308;height:2;width:9273;" filled="f" stroked="t" coordsize="9273,1" o:gfxdata="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EIkZXvQAA&#10;ANoAAAAPAAAAAAAAAAEAIAAAACIAAABkcnMvZG93bnJldi54bWxQSwECFAAUAAAACACHTuJAMy8F&#10;njsAAAA5AAAAEAAAAAAAAAABACAAAAAMAQAAZHJzL3NoYXBleG1sLnhtbFBLBQYAAAAABgAGAFsB&#10;AAC2AwAAAAA=&#10;" path="m0,0l9273,0e">
                <v:fill on="f" focussize="0,0"/>
                <v:stroke weight="0.58pt" color="#000000" joinstyle="round"/>
                <v:imagedata o:title=""/>
                <o:lock v:ext="edit" aspectratio="f"/>
              </v:shape>
            </v:group>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F092B84"/>
    <w:multiLevelType w:val="multilevel"/>
    <w:tmpl w:val="CF092B84"/>
    <w:lvl w:ilvl="0" w:tentative="0">
      <w:start w:val="1"/>
      <w:numFmt w:val="decimal"/>
      <w:lvlText w:val="%1"/>
      <w:lvlJc w:val="left"/>
      <w:pPr>
        <w:ind w:left="600" w:hanging="480"/>
      </w:pPr>
      <w:rPr>
        <w:rFonts w:hint="default"/>
        <w:lang w:val="zh-CN" w:eastAsia="zh-CN" w:bidi="zh-CN"/>
      </w:rPr>
    </w:lvl>
    <w:lvl w:ilvl="1" w:tentative="0">
      <w:start w:val="1"/>
      <w:numFmt w:val="decimal"/>
      <w:lvlText w:val="%1.%2"/>
      <w:lvlJc w:val="left"/>
      <w:pPr>
        <w:ind w:left="600" w:hanging="480"/>
      </w:pPr>
      <w:rPr>
        <w:rFonts w:hint="default" w:ascii="宋体" w:hAnsi="宋体" w:eastAsia="宋体" w:cs="宋体"/>
        <w:w w:val="100"/>
        <w:sz w:val="24"/>
        <w:szCs w:val="24"/>
        <w:lang w:val="zh-CN" w:eastAsia="zh-CN" w:bidi="zh-CN"/>
      </w:rPr>
    </w:lvl>
    <w:lvl w:ilvl="2" w:tentative="0">
      <w:start w:val="0"/>
      <w:numFmt w:val="bullet"/>
      <w:lvlText w:val="•"/>
      <w:lvlJc w:val="left"/>
      <w:pPr>
        <w:ind w:left="2237" w:hanging="480"/>
      </w:pPr>
      <w:rPr>
        <w:rFonts w:hint="default"/>
        <w:lang w:val="zh-CN" w:eastAsia="zh-CN" w:bidi="zh-CN"/>
      </w:rPr>
    </w:lvl>
    <w:lvl w:ilvl="3" w:tentative="0">
      <w:start w:val="0"/>
      <w:numFmt w:val="bullet"/>
      <w:lvlText w:val="•"/>
      <w:lvlJc w:val="left"/>
      <w:pPr>
        <w:ind w:left="3055" w:hanging="480"/>
      </w:pPr>
      <w:rPr>
        <w:rFonts w:hint="default"/>
        <w:lang w:val="zh-CN" w:eastAsia="zh-CN" w:bidi="zh-CN"/>
      </w:rPr>
    </w:lvl>
    <w:lvl w:ilvl="4" w:tentative="0">
      <w:start w:val="0"/>
      <w:numFmt w:val="bullet"/>
      <w:lvlText w:val="•"/>
      <w:lvlJc w:val="left"/>
      <w:pPr>
        <w:ind w:left="3874" w:hanging="480"/>
      </w:pPr>
      <w:rPr>
        <w:rFonts w:hint="default"/>
        <w:lang w:val="zh-CN" w:eastAsia="zh-CN" w:bidi="zh-CN"/>
      </w:rPr>
    </w:lvl>
    <w:lvl w:ilvl="5" w:tentative="0">
      <w:start w:val="0"/>
      <w:numFmt w:val="bullet"/>
      <w:lvlText w:val="•"/>
      <w:lvlJc w:val="left"/>
      <w:pPr>
        <w:ind w:left="4693" w:hanging="480"/>
      </w:pPr>
      <w:rPr>
        <w:rFonts w:hint="default"/>
        <w:lang w:val="zh-CN" w:eastAsia="zh-CN" w:bidi="zh-CN"/>
      </w:rPr>
    </w:lvl>
    <w:lvl w:ilvl="6" w:tentative="0">
      <w:start w:val="0"/>
      <w:numFmt w:val="bullet"/>
      <w:lvlText w:val="•"/>
      <w:lvlJc w:val="left"/>
      <w:pPr>
        <w:ind w:left="5511" w:hanging="480"/>
      </w:pPr>
      <w:rPr>
        <w:rFonts w:hint="default"/>
        <w:lang w:val="zh-CN" w:eastAsia="zh-CN" w:bidi="zh-CN"/>
      </w:rPr>
    </w:lvl>
    <w:lvl w:ilvl="7" w:tentative="0">
      <w:start w:val="0"/>
      <w:numFmt w:val="bullet"/>
      <w:lvlText w:val="•"/>
      <w:lvlJc w:val="left"/>
      <w:pPr>
        <w:ind w:left="6330" w:hanging="480"/>
      </w:pPr>
      <w:rPr>
        <w:rFonts w:hint="default"/>
        <w:lang w:val="zh-CN" w:eastAsia="zh-CN" w:bidi="zh-CN"/>
      </w:rPr>
    </w:lvl>
    <w:lvl w:ilvl="8" w:tentative="0">
      <w:start w:val="0"/>
      <w:numFmt w:val="bullet"/>
      <w:lvlText w:val="•"/>
      <w:lvlJc w:val="left"/>
      <w:pPr>
        <w:ind w:left="7149" w:hanging="480"/>
      </w:pPr>
      <w:rPr>
        <w:rFonts w:hint="default"/>
        <w:lang w:val="zh-CN" w:eastAsia="zh-CN" w:bidi="zh-CN"/>
      </w:rPr>
    </w:lvl>
  </w:abstractNum>
  <w:abstractNum w:abstractNumId="1">
    <w:nsid w:val="0053208E"/>
    <w:multiLevelType w:val="multilevel"/>
    <w:tmpl w:val="0053208E"/>
    <w:lvl w:ilvl="0" w:tentative="0">
      <w:start w:val="1"/>
      <w:numFmt w:val="decimal"/>
      <w:lvlText w:val="%1."/>
      <w:lvlJc w:val="left"/>
      <w:pPr>
        <w:ind w:left="480" w:hanging="360"/>
      </w:pPr>
      <w:rPr>
        <w:rFonts w:hint="default" w:ascii="宋体" w:hAnsi="宋体" w:eastAsia="宋体" w:cs="宋体"/>
        <w:w w:val="100"/>
        <w:sz w:val="24"/>
        <w:szCs w:val="24"/>
        <w:lang w:val="zh-CN" w:eastAsia="zh-CN" w:bidi="zh-CN"/>
      </w:rPr>
    </w:lvl>
    <w:lvl w:ilvl="1" w:tentative="0">
      <w:start w:val="0"/>
      <w:numFmt w:val="bullet"/>
      <w:lvlText w:val="•"/>
      <w:lvlJc w:val="left"/>
      <w:pPr>
        <w:ind w:left="1310" w:hanging="360"/>
      </w:pPr>
      <w:rPr>
        <w:rFonts w:hint="default"/>
        <w:lang w:val="zh-CN" w:eastAsia="zh-CN" w:bidi="zh-CN"/>
      </w:rPr>
    </w:lvl>
    <w:lvl w:ilvl="2" w:tentative="0">
      <w:start w:val="0"/>
      <w:numFmt w:val="bullet"/>
      <w:lvlText w:val="•"/>
      <w:lvlJc w:val="left"/>
      <w:pPr>
        <w:ind w:left="2141" w:hanging="360"/>
      </w:pPr>
      <w:rPr>
        <w:rFonts w:hint="default"/>
        <w:lang w:val="zh-CN" w:eastAsia="zh-CN" w:bidi="zh-CN"/>
      </w:rPr>
    </w:lvl>
    <w:lvl w:ilvl="3" w:tentative="0">
      <w:start w:val="0"/>
      <w:numFmt w:val="bullet"/>
      <w:lvlText w:val="•"/>
      <w:lvlJc w:val="left"/>
      <w:pPr>
        <w:ind w:left="2971" w:hanging="360"/>
      </w:pPr>
      <w:rPr>
        <w:rFonts w:hint="default"/>
        <w:lang w:val="zh-CN" w:eastAsia="zh-CN" w:bidi="zh-CN"/>
      </w:rPr>
    </w:lvl>
    <w:lvl w:ilvl="4" w:tentative="0">
      <w:start w:val="0"/>
      <w:numFmt w:val="bullet"/>
      <w:lvlText w:val="•"/>
      <w:lvlJc w:val="left"/>
      <w:pPr>
        <w:ind w:left="3802" w:hanging="360"/>
      </w:pPr>
      <w:rPr>
        <w:rFonts w:hint="default"/>
        <w:lang w:val="zh-CN" w:eastAsia="zh-CN" w:bidi="zh-CN"/>
      </w:rPr>
    </w:lvl>
    <w:lvl w:ilvl="5" w:tentative="0">
      <w:start w:val="0"/>
      <w:numFmt w:val="bullet"/>
      <w:lvlText w:val="•"/>
      <w:lvlJc w:val="left"/>
      <w:pPr>
        <w:ind w:left="4633" w:hanging="360"/>
      </w:pPr>
      <w:rPr>
        <w:rFonts w:hint="default"/>
        <w:lang w:val="zh-CN" w:eastAsia="zh-CN" w:bidi="zh-CN"/>
      </w:rPr>
    </w:lvl>
    <w:lvl w:ilvl="6" w:tentative="0">
      <w:start w:val="0"/>
      <w:numFmt w:val="bullet"/>
      <w:lvlText w:val="•"/>
      <w:lvlJc w:val="left"/>
      <w:pPr>
        <w:ind w:left="5463" w:hanging="360"/>
      </w:pPr>
      <w:rPr>
        <w:rFonts w:hint="default"/>
        <w:lang w:val="zh-CN" w:eastAsia="zh-CN" w:bidi="zh-CN"/>
      </w:rPr>
    </w:lvl>
    <w:lvl w:ilvl="7" w:tentative="0">
      <w:start w:val="0"/>
      <w:numFmt w:val="bullet"/>
      <w:lvlText w:val="•"/>
      <w:lvlJc w:val="left"/>
      <w:pPr>
        <w:ind w:left="6294" w:hanging="360"/>
      </w:pPr>
      <w:rPr>
        <w:rFonts w:hint="default"/>
        <w:lang w:val="zh-CN" w:eastAsia="zh-CN" w:bidi="zh-CN"/>
      </w:rPr>
    </w:lvl>
    <w:lvl w:ilvl="8" w:tentative="0">
      <w:start w:val="0"/>
      <w:numFmt w:val="bullet"/>
      <w:lvlText w:val="•"/>
      <w:lvlJc w:val="left"/>
      <w:pPr>
        <w:ind w:left="7125" w:hanging="360"/>
      </w:pPr>
      <w:rPr>
        <w:rFonts w:hint="default"/>
        <w:lang w:val="zh-CN" w:eastAsia="zh-CN" w:bidi="zh-CN"/>
      </w:rPr>
    </w:lvl>
  </w:abstractNum>
  <w:abstractNum w:abstractNumId="2">
    <w:nsid w:val="21DCA710"/>
    <w:multiLevelType w:val="singleLevel"/>
    <w:tmpl w:val="21DCA710"/>
    <w:lvl w:ilvl="0" w:tentative="0">
      <w:start w:val="3"/>
      <w:numFmt w:val="chineseCounting"/>
      <w:suff w:val="nothing"/>
      <w:lvlText w:val="%1、"/>
      <w:lvlJc w:val="left"/>
      <w:rPr>
        <w:rFonts w:hint="eastAsia"/>
      </w:r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720"/>
  <w:drawingGridHorizontalSpacing w:val="110"/>
  <w:displayHorizontalDrawingGridEvery w:val="1"/>
  <w:displayVerticalDrawingGridEvery w:val="1"/>
  <w:noPunctuationKerning w:val="1"/>
  <w:characterSpacingControl w:val="doNotCompress"/>
  <w:hdrShapeDefaults>
    <o:shapelayout v:ext="edit">
      <o:idmap v:ext="edit" data="2"/>
    </o:shapelayout>
  </w:hdrShapeDefaults>
  <w:compat>
    <w:ulTrailSpace/>
    <w:doNotExpandShiftReturn/>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90920"/>
    <w:rsid w:val="000278DC"/>
    <w:rsid w:val="00032473"/>
    <w:rsid w:val="000414FB"/>
    <w:rsid w:val="000579A5"/>
    <w:rsid w:val="00063023"/>
    <w:rsid w:val="00066EC5"/>
    <w:rsid w:val="001175B4"/>
    <w:rsid w:val="0017610F"/>
    <w:rsid w:val="001C1FC1"/>
    <w:rsid w:val="001E006E"/>
    <w:rsid w:val="001E1AAD"/>
    <w:rsid w:val="00244132"/>
    <w:rsid w:val="0026017D"/>
    <w:rsid w:val="00263C88"/>
    <w:rsid w:val="002704DC"/>
    <w:rsid w:val="002903F9"/>
    <w:rsid w:val="00290920"/>
    <w:rsid w:val="002E4DCC"/>
    <w:rsid w:val="0030225B"/>
    <w:rsid w:val="0033239A"/>
    <w:rsid w:val="00333CDD"/>
    <w:rsid w:val="0036038A"/>
    <w:rsid w:val="00376968"/>
    <w:rsid w:val="0037720E"/>
    <w:rsid w:val="003A0DB5"/>
    <w:rsid w:val="003D04CD"/>
    <w:rsid w:val="003F6CFA"/>
    <w:rsid w:val="0040402E"/>
    <w:rsid w:val="00405E2E"/>
    <w:rsid w:val="00436F89"/>
    <w:rsid w:val="00440CA5"/>
    <w:rsid w:val="00467DCB"/>
    <w:rsid w:val="004900E6"/>
    <w:rsid w:val="004A161E"/>
    <w:rsid w:val="004D63C4"/>
    <w:rsid w:val="004F1C97"/>
    <w:rsid w:val="004F1D71"/>
    <w:rsid w:val="005046FD"/>
    <w:rsid w:val="005B134C"/>
    <w:rsid w:val="005C44A5"/>
    <w:rsid w:val="005E0325"/>
    <w:rsid w:val="006511E0"/>
    <w:rsid w:val="00687D11"/>
    <w:rsid w:val="006C39B4"/>
    <w:rsid w:val="006C4684"/>
    <w:rsid w:val="006E5587"/>
    <w:rsid w:val="007103E9"/>
    <w:rsid w:val="00724FE4"/>
    <w:rsid w:val="00766F3F"/>
    <w:rsid w:val="00774550"/>
    <w:rsid w:val="007816F0"/>
    <w:rsid w:val="007B7DB6"/>
    <w:rsid w:val="007C6B63"/>
    <w:rsid w:val="007E5EB5"/>
    <w:rsid w:val="00825F7C"/>
    <w:rsid w:val="00866AFB"/>
    <w:rsid w:val="008904FE"/>
    <w:rsid w:val="008C6E32"/>
    <w:rsid w:val="008F71D5"/>
    <w:rsid w:val="009033D2"/>
    <w:rsid w:val="009364BF"/>
    <w:rsid w:val="009369F8"/>
    <w:rsid w:val="0094624B"/>
    <w:rsid w:val="00963BF3"/>
    <w:rsid w:val="009A0267"/>
    <w:rsid w:val="009C1E21"/>
    <w:rsid w:val="009C7DA2"/>
    <w:rsid w:val="009F692A"/>
    <w:rsid w:val="00A46435"/>
    <w:rsid w:val="00AB12C6"/>
    <w:rsid w:val="00AD3415"/>
    <w:rsid w:val="00B04DFD"/>
    <w:rsid w:val="00B10FBE"/>
    <w:rsid w:val="00B40D99"/>
    <w:rsid w:val="00B50488"/>
    <w:rsid w:val="00B82100"/>
    <w:rsid w:val="00BD1A31"/>
    <w:rsid w:val="00BE263E"/>
    <w:rsid w:val="00C53042"/>
    <w:rsid w:val="00C7250B"/>
    <w:rsid w:val="00CB539F"/>
    <w:rsid w:val="00CF08BE"/>
    <w:rsid w:val="00D10E9E"/>
    <w:rsid w:val="00D15940"/>
    <w:rsid w:val="00D26976"/>
    <w:rsid w:val="00D43431"/>
    <w:rsid w:val="00D43AC4"/>
    <w:rsid w:val="00D96750"/>
    <w:rsid w:val="00DF7453"/>
    <w:rsid w:val="00E17C27"/>
    <w:rsid w:val="00E20AA2"/>
    <w:rsid w:val="00E228B5"/>
    <w:rsid w:val="00E93DD6"/>
    <w:rsid w:val="00EC0C64"/>
    <w:rsid w:val="00EE28D9"/>
    <w:rsid w:val="00EE57D0"/>
    <w:rsid w:val="00F051A3"/>
    <w:rsid w:val="00F92607"/>
    <w:rsid w:val="00FA73EE"/>
    <w:rsid w:val="00FB1115"/>
    <w:rsid w:val="00FB3464"/>
    <w:rsid w:val="00FB62EB"/>
    <w:rsid w:val="01EB606E"/>
    <w:rsid w:val="038A7DBD"/>
    <w:rsid w:val="04656597"/>
    <w:rsid w:val="07A61E1B"/>
    <w:rsid w:val="0C130028"/>
    <w:rsid w:val="0DAB0576"/>
    <w:rsid w:val="0E8F60D6"/>
    <w:rsid w:val="0F93018A"/>
    <w:rsid w:val="0FE35D42"/>
    <w:rsid w:val="11452103"/>
    <w:rsid w:val="13DF784D"/>
    <w:rsid w:val="146E08BC"/>
    <w:rsid w:val="15A873B1"/>
    <w:rsid w:val="16395B8F"/>
    <w:rsid w:val="181A0A77"/>
    <w:rsid w:val="18ED1B37"/>
    <w:rsid w:val="193366D3"/>
    <w:rsid w:val="1ADC3E01"/>
    <w:rsid w:val="1BC56881"/>
    <w:rsid w:val="205B75D5"/>
    <w:rsid w:val="20A95695"/>
    <w:rsid w:val="2689447C"/>
    <w:rsid w:val="2A112895"/>
    <w:rsid w:val="2AB737EB"/>
    <w:rsid w:val="2CC4342F"/>
    <w:rsid w:val="2F001624"/>
    <w:rsid w:val="2FF5681A"/>
    <w:rsid w:val="3548797A"/>
    <w:rsid w:val="36432513"/>
    <w:rsid w:val="37400281"/>
    <w:rsid w:val="38A864E3"/>
    <w:rsid w:val="38D37089"/>
    <w:rsid w:val="39F07465"/>
    <w:rsid w:val="41DD2455"/>
    <w:rsid w:val="4579649E"/>
    <w:rsid w:val="4A1572C5"/>
    <w:rsid w:val="4DAF1A5F"/>
    <w:rsid w:val="555F6371"/>
    <w:rsid w:val="55B10B61"/>
    <w:rsid w:val="567D3FBF"/>
    <w:rsid w:val="571560F4"/>
    <w:rsid w:val="572F4DE0"/>
    <w:rsid w:val="594C43FA"/>
    <w:rsid w:val="5AC30CBD"/>
    <w:rsid w:val="5F56678A"/>
    <w:rsid w:val="6012236B"/>
    <w:rsid w:val="605618F3"/>
    <w:rsid w:val="615B1E4B"/>
    <w:rsid w:val="62E97EC7"/>
    <w:rsid w:val="64332663"/>
    <w:rsid w:val="65BD276E"/>
    <w:rsid w:val="65CE58E3"/>
    <w:rsid w:val="66777191"/>
    <w:rsid w:val="67E61C3B"/>
    <w:rsid w:val="67E6363A"/>
    <w:rsid w:val="695104C1"/>
    <w:rsid w:val="6A9B7DE3"/>
    <w:rsid w:val="6C214F2E"/>
    <w:rsid w:val="6C2D5436"/>
    <w:rsid w:val="6CE95C2B"/>
    <w:rsid w:val="6DD06A6A"/>
    <w:rsid w:val="6EF2679D"/>
    <w:rsid w:val="71A95A66"/>
    <w:rsid w:val="730E375A"/>
    <w:rsid w:val="755B7ABB"/>
    <w:rsid w:val="757423F0"/>
    <w:rsid w:val="75861291"/>
    <w:rsid w:val="767B3CA4"/>
    <w:rsid w:val="79F2763D"/>
    <w:rsid w:val="7B9A00BC"/>
    <w:rsid w:val="7C2A12BF"/>
    <w:rsid w:val="7E8B632F"/>
    <w:rsid w:val="7EF15B12"/>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nhideWhenUsed="0" w:uiPriority="1"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1"/>
    <w:pPr>
      <w:widowControl w:val="0"/>
      <w:autoSpaceDE w:val="0"/>
      <w:autoSpaceDN w:val="0"/>
    </w:pPr>
    <w:rPr>
      <w:rFonts w:ascii="宋体" w:hAnsi="宋体" w:eastAsia="宋体" w:cs="宋体"/>
      <w:sz w:val="22"/>
      <w:szCs w:val="22"/>
      <w:lang w:val="zh-CN" w:eastAsia="zh-CN" w:bidi="zh-CN"/>
    </w:rPr>
  </w:style>
  <w:style w:type="paragraph" w:styleId="3">
    <w:name w:val="heading 1"/>
    <w:basedOn w:val="1"/>
    <w:next w:val="1"/>
    <w:qFormat/>
    <w:uiPriority w:val="1"/>
    <w:pPr>
      <w:ind w:left="120"/>
      <w:outlineLvl w:val="0"/>
    </w:pPr>
    <w:rPr>
      <w:sz w:val="28"/>
      <w:szCs w:val="28"/>
    </w:rPr>
  </w:style>
  <w:style w:type="paragraph" w:styleId="2">
    <w:name w:val="heading 2"/>
    <w:basedOn w:val="1"/>
    <w:next w:val="1"/>
    <w:qFormat/>
    <w:uiPriority w:val="1"/>
    <w:pPr>
      <w:ind w:right="240"/>
      <w:jc w:val="center"/>
      <w:outlineLvl w:val="1"/>
    </w:pPr>
    <w:rPr>
      <w:b/>
      <w:bCs/>
      <w:sz w:val="24"/>
      <w:szCs w:val="24"/>
    </w:rPr>
  </w:style>
  <w:style w:type="character" w:default="1" w:styleId="11">
    <w:name w:val="Default Paragraph Font"/>
    <w:semiHidden/>
    <w:unhideWhenUsed/>
    <w:qFormat/>
    <w:uiPriority w:val="1"/>
  </w:style>
  <w:style w:type="table" w:default="1" w:styleId="10">
    <w:name w:val="Normal Table"/>
    <w:semiHidden/>
    <w:unhideWhenUsed/>
    <w:qFormat/>
    <w:uiPriority w:val="99"/>
    <w:tblPr>
      <w:tblCellMar>
        <w:top w:w="0" w:type="dxa"/>
        <w:left w:w="108" w:type="dxa"/>
        <w:bottom w:w="0" w:type="dxa"/>
        <w:right w:w="108" w:type="dxa"/>
      </w:tblCellMar>
    </w:tblPr>
  </w:style>
  <w:style w:type="paragraph" w:styleId="4">
    <w:name w:val="Body Text"/>
    <w:basedOn w:val="1"/>
    <w:qFormat/>
    <w:uiPriority w:val="1"/>
    <w:pPr>
      <w:ind w:left="120"/>
    </w:pPr>
    <w:rPr>
      <w:sz w:val="24"/>
      <w:szCs w:val="24"/>
    </w:rPr>
  </w:style>
  <w:style w:type="paragraph" w:styleId="5">
    <w:name w:val="Body Text Indent"/>
    <w:basedOn w:val="1"/>
    <w:qFormat/>
    <w:uiPriority w:val="0"/>
    <w:pPr>
      <w:autoSpaceDE w:val="0"/>
      <w:autoSpaceDN w:val="0"/>
      <w:adjustRightInd w:val="0"/>
      <w:spacing w:line="504" w:lineRule="exact"/>
      <w:ind w:firstLine="480"/>
    </w:pPr>
    <w:rPr>
      <w:kern w:val="0"/>
      <w:sz w:val="24"/>
    </w:rPr>
  </w:style>
  <w:style w:type="paragraph" w:styleId="6">
    <w:name w:val="Balloon Text"/>
    <w:basedOn w:val="1"/>
    <w:link w:val="20"/>
    <w:qFormat/>
    <w:uiPriority w:val="0"/>
    <w:rPr>
      <w:sz w:val="18"/>
      <w:szCs w:val="18"/>
    </w:rPr>
  </w:style>
  <w:style w:type="paragraph" w:styleId="7">
    <w:name w:val="footer"/>
    <w:basedOn w:val="1"/>
    <w:link w:val="18"/>
    <w:qFormat/>
    <w:uiPriority w:val="0"/>
    <w:pPr>
      <w:tabs>
        <w:tab w:val="center" w:pos="4153"/>
        <w:tab w:val="right" w:pos="8306"/>
      </w:tabs>
      <w:snapToGrid w:val="0"/>
    </w:pPr>
    <w:rPr>
      <w:sz w:val="18"/>
      <w:szCs w:val="18"/>
    </w:rPr>
  </w:style>
  <w:style w:type="paragraph" w:styleId="8">
    <w:name w:val="header"/>
    <w:basedOn w:val="1"/>
    <w:link w:val="17"/>
    <w:qFormat/>
    <w:uiPriority w:val="0"/>
    <w:pPr>
      <w:pBdr>
        <w:bottom w:val="single" w:color="auto" w:sz="6" w:space="1"/>
      </w:pBdr>
      <w:tabs>
        <w:tab w:val="center" w:pos="4153"/>
        <w:tab w:val="right" w:pos="8306"/>
      </w:tabs>
      <w:snapToGrid w:val="0"/>
      <w:jc w:val="center"/>
    </w:pPr>
    <w:rPr>
      <w:sz w:val="18"/>
      <w:szCs w:val="18"/>
    </w:rPr>
  </w:style>
  <w:style w:type="paragraph" w:styleId="9">
    <w:name w:val="toc 1"/>
    <w:basedOn w:val="1"/>
    <w:next w:val="1"/>
    <w:qFormat/>
    <w:uiPriority w:val="39"/>
    <w:pPr>
      <w:spacing w:before="316"/>
      <w:ind w:right="238"/>
      <w:jc w:val="center"/>
    </w:pPr>
    <w:rPr>
      <w:sz w:val="24"/>
      <w:szCs w:val="24"/>
    </w:rPr>
  </w:style>
  <w:style w:type="character" w:styleId="12">
    <w:name w:val="Hyperlink"/>
    <w:basedOn w:val="11"/>
    <w:unhideWhenUsed/>
    <w:qFormat/>
    <w:uiPriority w:val="99"/>
    <w:rPr>
      <w:color w:val="0000FF" w:themeColor="hyperlink"/>
      <w:u w:val="single"/>
      <w14:textFill>
        <w14:solidFill>
          <w14:schemeClr w14:val="hlink"/>
        </w14:solidFill>
      </w14:textFill>
    </w:rPr>
  </w:style>
  <w:style w:type="table" w:customStyle="1" w:styleId="13">
    <w:name w:val="Table Normal"/>
    <w:semiHidden/>
    <w:unhideWhenUsed/>
    <w:qFormat/>
    <w:uiPriority w:val="2"/>
    <w:tblPr>
      <w:tblCellMar>
        <w:top w:w="0" w:type="dxa"/>
        <w:left w:w="0" w:type="dxa"/>
        <w:bottom w:w="0" w:type="dxa"/>
        <w:right w:w="0" w:type="dxa"/>
      </w:tblCellMar>
    </w:tblPr>
  </w:style>
  <w:style w:type="paragraph" w:styleId="14">
    <w:name w:val="List Paragraph"/>
    <w:basedOn w:val="1"/>
    <w:qFormat/>
    <w:uiPriority w:val="1"/>
    <w:pPr>
      <w:spacing w:before="4"/>
      <w:ind w:left="540" w:hanging="420"/>
    </w:pPr>
  </w:style>
  <w:style w:type="paragraph" w:customStyle="1" w:styleId="15">
    <w:name w:val="Table Paragraph"/>
    <w:basedOn w:val="1"/>
    <w:qFormat/>
    <w:uiPriority w:val="1"/>
    <w:pPr>
      <w:spacing w:before="156"/>
      <w:ind w:left="112"/>
    </w:pPr>
  </w:style>
  <w:style w:type="paragraph" w:customStyle="1" w:styleId="16">
    <w:name w:val="WPSOffice手动目录 1"/>
    <w:qFormat/>
    <w:uiPriority w:val="0"/>
    <w:rPr>
      <w:rFonts w:ascii="Times New Roman" w:hAnsi="Times New Roman" w:eastAsia="宋体" w:cs="Times New Roman"/>
      <w:lang w:val="en-US" w:eastAsia="zh-CN" w:bidi="ar-SA"/>
    </w:rPr>
  </w:style>
  <w:style w:type="character" w:customStyle="1" w:styleId="17">
    <w:name w:val="页眉 Char"/>
    <w:basedOn w:val="11"/>
    <w:link w:val="8"/>
    <w:qFormat/>
    <w:uiPriority w:val="0"/>
    <w:rPr>
      <w:rFonts w:ascii="宋体" w:hAnsi="宋体" w:cs="宋体"/>
      <w:sz w:val="18"/>
      <w:szCs w:val="18"/>
      <w:lang w:val="zh-CN" w:bidi="zh-CN"/>
    </w:rPr>
  </w:style>
  <w:style w:type="character" w:customStyle="1" w:styleId="18">
    <w:name w:val="页脚 Char"/>
    <w:basedOn w:val="11"/>
    <w:link w:val="7"/>
    <w:qFormat/>
    <w:uiPriority w:val="0"/>
    <w:rPr>
      <w:rFonts w:ascii="宋体" w:hAnsi="宋体" w:cs="宋体"/>
      <w:sz w:val="18"/>
      <w:szCs w:val="18"/>
      <w:lang w:val="zh-CN" w:bidi="zh-CN"/>
    </w:rPr>
  </w:style>
  <w:style w:type="paragraph" w:customStyle="1" w:styleId="19">
    <w:name w:val="TOC 标题1"/>
    <w:basedOn w:val="3"/>
    <w:next w:val="1"/>
    <w:unhideWhenUsed/>
    <w:qFormat/>
    <w:uiPriority w:val="39"/>
    <w:pPr>
      <w:keepNext/>
      <w:keepLines/>
      <w:widowControl/>
      <w:autoSpaceDE/>
      <w:autoSpaceDN/>
      <w:spacing w:before="240" w:line="259" w:lineRule="auto"/>
      <w:ind w:left="0"/>
      <w:outlineLvl w:val="9"/>
    </w:pPr>
    <w:rPr>
      <w:rFonts w:asciiTheme="majorHAnsi" w:hAnsiTheme="majorHAnsi" w:eastAsiaTheme="majorEastAsia" w:cstheme="majorBidi"/>
      <w:color w:val="376092" w:themeColor="accent1" w:themeShade="BF"/>
      <w:sz w:val="32"/>
      <w:szCs w:val="32"/>
      <w:lang w:val="en-US" w:bidi="ar-SA"/>
    </w:rPr>
  </w:style>
  <w:style w:type="character" w:customStyle="1" w:styleId="20">
    <w:name w:val="批注框文本 Char"/>
    <w:basedOn w:val="11"/>
    <w:link w:val="6"/>
    <w:qFormat/>
    <w:uiPriority w:val="0"/>
    <w:rPr>
      <w:rFonts w:ascii="宋体" w:hAnsi="宋体" w:cs="宋体"/>
      <w:sz w:val="18"/>
      <w:szCs w:val="18"/>
      <w:lang w:val="zh-CN" w:bidi="zh-CN"/>
    </w:rPr>
  </w:style>
  <w:style w:type="paragraph" w:customStyle="1" w:styleId="21">
    <w:name w:val="Heading 11"/>
    <w:basedOn w:val="1"/>
    <w:qFormat/>
    <w:uiPriority w:val="99"/>
    <w:pPr>
      <w:outlineLvl w:val="1"/>
    </w:pPr>
    <w:rPr>
      <w:rFonts w:ascii="黑体" w:hAnsi="黑体" w:eastAsia="黑体"/>
      <w:sz w:val="32"/>
      <w:szCs w:val="32"/>
    </w:rPr>
  </w:style>
</w:styles>
</file>

<file path=word/_rels/document.xml.rels><?xml version="1.0" encoding="UTF-8" standalone="yes"?>
<Relationships xmlns="http://schemas.openxmlformats.org/package/2006/relationships"><Relationship Id="rId9" Type="http://schemas.openxmlformats.org/officeDocument/2006/relationships/image" Target="media/image1.png"/><Relationship Id="rId8" Type="http://schemas.openxmlformats.org/officeDocument/2006/relationships/theme" Target="theme/theme1.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customXml" Target="../customXml/item2.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AF687B06-5AC9-42A6-B47C-1C455AC4FB8B}">
  <ds:schemaRefs/>
</ds:datastoreItem>
</file>

<file path=docProps/app.xml><?xml version="1.0" encoding="utf-8"?>
<Properties xmlns="http://schemas.openxmlformats.org/officeDocument/2006/extended-properties" xmlns:vt="http://schemas.openxmlformats.org/officeDocument/2006/docPropsVTypes">
  <Template>Normal</Template>
  <Company>Microsoft China</Company>
  <Pages>24</Pages>
  <Words>2446</Words>
  <Characters>13944</Characters>
  <Lines>116</Lines>
  <Paragraphs>32</Paragraphs>
  <TotalTime>8</TotalTime>
  <ScaleCrop>false</ScaleCrop>
  <LinksUpToDate>false</LinksUpToDate>
  <CharactersWithSpaces>16358</CharactersWithSpaces>
  <Application>WPS Office_11.1.0.11045_F1E327BC-269C-435d-A152-05C5408002CA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2019-06-04T02:04:00Z</dcterms:created>
  <dc:creator>尚丹</dc:creator>
  <cp:lastModifiedBy>口</cp:lastModifiedBy>
  <cp:lastPrinted>2020-04-14T05:34:00Z</cp:lastPrinted>
  <dcterms:modified xsi:type="dcterms:W3CDTF">2021-10-26T06:19:31Z</dcterms:modified>
  <cp:revision>77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2018-08-30T00:00:00Z</vt:filetime>
  </property>
  <property fmtid="{D5CDD505-2E9C-101B-9397-08002B2CF9AE}" pid="3" name="Creator">
    <vt:lpwstr>Acrobat PDFMaker 15 Word 版</vt:lpwstr>
  </property>
  <property fmtid="{D5CDD505-2E9C-101B-9397-08002B2CF9AE}" pid="4" name="LastSaved">
    <vt:filetime>2019-06-04T00:00:00Z</vt:filetime>
  </property>
  <property fmtid="{D5CDD505-2E9C-101B-9397-08002B2CF9AE}" pid="5" name="KSOProductBuildVer">
    <vt:lpwstr>2052-11.1.0.11045</vt:lpwstr>
  </property>
  <property fmtid="{D5CDD505-2E9C-101B-9397-08002B2CF9AE}" pid="6" name="ICV">
    <vt:lpwstr>E1C69AD5D6C54DB98E2E8F47B917E5CD</vt:lpwstr>
  </property>
</Properties>
</file>